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EE" w:rsidRDefault="00F81EEE" w:rsidP="00F81EEE">
      <w:pPr>
        <w:widowControl/>
        <w:tabs>
          <w:tab w:val="left" w:pos="2880"/>
        </w:tabs>
        <w:adjustRightInd w:val="0"/>
        <w:snapToGrid w:val="0"/>
        <w:spacing w:after="200"/>
        <w:jc w:val="left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方正仿宋_GBK" w:eastAsia="方正仿宋_GBK" w:hAnsi="黑体" w:hint="eastAsia"/>
          <w:kern w:val="0"/>
          <w:sz w:val="32"/>
          <w:szCs w:val="32"/>
        </w:rPr>
        <w:t>附件</w:t>
      </w:r>
      <w:r>
        <w:rPr>
          <w:rFonts w:ascii="方正书宋_GBK" w:eastAsia="方正书宋_GBK" w:hAnsi="黑体" w:hint="eastAsia"/>
          <w:kern w:val="0"/>
          <w:sz w:val="32"/>
          <w:szCs w:val="32"/>
        </w:rPr>
        <w:t>3</w:t>
      </w:r>
      <w:r w:rsidRPr="00566CDF">
        <w:rPr>
          <w:rFonts w:ascii="方正仿宋_GBK" w:eastAsia="方正仿宋_GBK" w:hAnsi="黑体" w:hint="eastAsia"/>
          <w:kern w:val="0"/>
          <w:sz w:val="32"/>
          <w:szCs w:val="32"/>
        </w:rPr>
        <w:t xml:space="preserve"> </w:t>
      </w:r>
    </w:p>
    <w:p w:rsidR="00F81EEE" w:rsidRPr="00566CDF" w:rsidRDefault="00F81EEE" w:rsidP="00F81EEE">
      <w:pPr>
        <w:widowControl/>
        <w:tabs>
          <w:tab w:val="left" w:pos="2880"/>
        </w:tabs>
        <w:adjustRightInd w:val="0"/>
        <w:snapToGrid w:val="0"/>
        <w:spacing w:after="200"/>
        <w:jc w:val="center"/>
        <w:rPr>
          <w:rFonts w:ascii="方正黑体_GBK" w:eastAsia="方正黑体_GBK" w:hAnsi="黑体" w:hint="eastAsia"/>
          <w:kern w:val="0"/>
          <w:sz w:val="32"/>
          <w:szCs w:val="32"/>
        </w:rPr>
      </w:pPr>
      <w:r w:rsidRPr="00566CDF">
        <w:rPr>
          <w:rFonts w:ascii="方正黑体_GBK" w:eastAsia="方正黑体_GBK" w:hAnsi="黑体" w:hint="eastAsia"/>
          <w:kern w:val="0"/>
          <w:sz w:val="32"/>
          <w:szCs w:val="32"/>
        </w:rPr>
        <w:t>直销企业2016年履行社会责任情况统计表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96"/>
        <w:gridCol w:w="1656"/>
        <w:gridCol w:w="2376"/>
        <w:gridCol w:w="763"/>
        <w:gridCol w:w="1050"/>
        <w:gridCol w:w="1285"/>
        <w:gridCol w:w="696"/>
      </w:tblGrid>
      <w:tr w:rsidR="00F81EEE" w:rsidRPr="00DB5FB1" w:rsidTr="00C47CD8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3F6930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F693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3F6930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F693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形  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3F6930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F693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统计指标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3F6930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F693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3F6930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F693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2016年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3F6930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F693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同比（%）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3F6930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F693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公</w:t>
            </w:r>
          </w:p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益</w:t>
            </w:r>
          </w:p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公益基金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公益项目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资金投入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公益捐赠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现金捐赠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非现金捐赠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其他公益支出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消</w:t>
            </w:r>
          </w:p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费</w:t>
            </w:r>
          </w:p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权</w:t>
            </w:r>
          </w:p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益</w:t>
            </w:r>
          </w:p>
          <w:p w:rsidR="00F81EEE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</w:p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护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投诉咨询渠道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热线电话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有/无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网上客服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有/无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网上留言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有/无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有/无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信函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有/无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消费者纠纷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判决案件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判决赔偿金额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仲裁案件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仲裁赔偿金额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调解/和解案件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调解/和解赔偿金额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消费者撤诉案件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81EEE" w:rsidRPr="00DB5FB1" w:rsidTr="00C47C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jc w:val="center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消费者撤诉涉案金额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EEE" w:rsidRPr="00DB5FB1" w:rsidRDefault="00F81EEE" w:rsidP="00C47CD8">
            <w:pPr>
              <w:widowControl/>
              <w:adjustRightInd w:val="0"/>
              <w:snapToGrid w:val="0"/>
              <w:rPr>
                <w:rFonts w:ascii="方正书宋_GBK" w:eastAsia="方正书宋_GBK" w:cs="宋体" w:hint="eastAsia"/>
                <w:color w:val="000000"/>
                <w:kern w:val="0"/>
                <w:sz w:val="24"/>
                <w:szCs w:val="24"/>
              </w:rPr>
            </w:pPr>
            <w:r w:rsidRPr="00DB5FB1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81EEE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jc w:val="left"/>
        <w:rPr>
          <w:rFonts w:ascii="方正书宋_GBK" w:eastAsia="方正书宋_GBK" w:hAnsi="Times New Roman" w:hint="eastAsia"/>
          <w:kern w:val="0"/>
          <w:sz w:val="24"/>
          <w:szCs w:val="24"/>
        </w:rPr>
      </w:pPr>
    </w:p>
    <w:p w:rsidR="00F81EEE" w:rsidRPr="00DB5FB1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jc w:val="left"/>
        <w:rPr>
          <w:rFonts w:ascii="方正书宋_GBK" w:eastAsia="方正书宋_GBK" w:hAnsi="Times New Roman" w:hint="eastAsia"/>
          <w:kern w:val="0"/>
          <w:sz w:val="24"/>
          <w:szCs w:val="24"/>
        </w:rPr>
      </w:pPr>
      <w:r w:rsidRPr="004100BC">
        <w:rPr>
          <w:rFonts w:ascii="方正书宋_GBK" w:eastAsia="方正书宋_GBK" w:hAnsi="Times New Roman" w:hint="eastAsia"/>
          <w:b/>
          <w:kern w:val="0"/>
          <w:sz w:val="24"/>
          <w:szCs w:val="24"/>
        </w:rPr>
        <w:t>注：</w:t>
      </w:r>
      <w:r>
        <w:rPr>
          <w:rFonts w:ascii="方正书宋_GBK" w:eastAsia="方正书宋_GBK" w:hAnsi="Times New Roman" w:hint="eastAsia"/>
          <w:kern w:val="0"/>
          <w:sz w:val="24"/>
          <w:szCs w:val="24"/>
        </w:rPr>
        <w:t>本表统计对象为直销企业</w:t>
      </w:r>
      <w:r w:rsidRPr="00DB5FB1">
        <w:rPr>
          <w:rFonts w:ascii="方正书宋_GBK" w:eastAsia="方正书宋_GBK" w:hAnsi="Times New Roman" w:hint="eastAsia"/>
          <w:kern w:val="0"/>
          <w:sz w:val="24"/>
          <w:szCs w:val="24"/>
        </w:rPr>
        <w:t>，统计范围包括企业直销业务和非直销业务。</w:t>
      </w:r>
    </w:p>
    <w:p w:rsidR="00F81EEE" w:rsidRPr="00DB5FB1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imes New Roman" w:hint="eastAsia"/>
          <w:b/>
          <w:kern w:val="0"/>
          <w:sz w:val="24"/>
          <w:szCs w:val="24"/>
        </w:rPr>
      </w:pPr>
      <w:r w:rsidRPr="00DB5FB1">
        <w:rPr>
          <w:rFonts w:ascii="方正书宋_GBK" w:eastAsia="方正书宋_GBK" w:hAnsi="Times New Roman" w:hint="eastAsia"/>
          <w:b/>
          <w:kern w:val="0"/>
          <w:sz w:val="24"/>
          <w:szCs w:val="24"/>
        </w:rPr>
        <w:t>指标解释</w:t>
      </w:r>
    </w:p>
    <w:p w:rsidR="00F81EEE" w:rsidRPr="00DB5FB1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ahoma" w:hint="eastAsia"/>
          <w:kern w:val="0"/>
          <w:sz w:val="24"/>
          <w:szCs w:val="24"/>
        </w:rPr>
      </w:pPr>
      <w:r w:rsidRPr="00DB5FB1">
        <w:rPr>
          <w:rFonts w:ascii="方正书宋_GBK" w:eastAsia="方正书宋_GBK" w:hAnsi="Tahoma" w:hint="eastAsia"/>
          <w:b/>
          <w:kern w:val="0"/>
          <w:sz w:val="24"/>
          <w:szCs w:val="24"/>
        </w:rPr>
        <w:lastRenderedPageBreak/>
        <w:t>1.公益基金：</w:t>
      </w:r>
      <w:r w:rsidRPr="00DB5FB1">
        <w:rPr>
          <w:rFonts w:ascii="方正书宋_GBK" w:eastAsia="方正书宋_GBK" w:hAnsi="Tahoma" w:hint="eastAsia"/>
          <w:kern w:val="0"/>
          <w:sz w:val="24"/>
          <w:szCs w:val="24"/>
        </w:rPr>
        <w:t>包括以企业名义设立的公益基金，</w:t>
      </w:r>
      <w:r>
        <w:rPr>
          <w:rFonts w:ascii="方正书宋_GBK" w:eastAsia="方正书宋_GBK" w:hAnsi="Tahoma" w:hint="eastAsia"/>
          <w:kern w:val="0"/>
          <w:sz w:val="24"/>
          <w:szCs w:val="24"/>
        </w:rPr>
        <w:t>以及以其他名义设立</w:t>
      </w:r>
      <w:r w:rsidRPr="00DB5FB1">
        <w:rPr>
          <w:rFonts w:ascii="方正书宋_GBK" w:eastAsia="方正书宋_GBK" w:hAnsi="Tahoma" w:hint="eastAsia"/>
          <w:kern w:val="0"/>
          <w:sz w:val="24"/>
          <w:szCs w:val="24"/>
        </w:rPr>
        <w:t>但企业为主要资助人的公益基金。请在备注中注明基金名称。</w:t>
      </w:r>
    </w:p>
    <w:p w:rsidR="00F81EEE" w:rsidRPr="00DB5FB1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ahoma" w:hint="eastAsia"/>
          <w:kern w:val="0"/>
          <w:sz w:val="24"/>
          <w:szCs w:val="24"/>
        </w:rPr>
      </w:pPr>
      <w:r w:rsidRPr="00DB5FB1">
        <w:rPr>
          <w:rFonts w:ascii="方正书宋_GBK" w:eastAsia="方正书宋_GBK" w:hAnsi="Tahoma" w:hint="eastAsia"/>
          <w:b/>
          <w:kern w:val="0"/>
          <w:sz w:val="24"/>
          <w:szCs w:val="24"/>
        </w:rPr>
        <w:t>2.公益项目：</w:t>
      </w:r>
      <w:r w:rsidRPr="00DB5FB1">
        <w:rPr>
          <w:rFonts w:ascii="方正书宋_GBK" w:eastAsia="方正书宋_GBK" w:hAnsi="Tahoma" w:hint="eastAsia"/>
          <w:kern w:val="0"/>
          <w:sz w:val="24"/>
          <w:szCs w:val="24"/>
        </w:rPr>
        <w:t>是指企业投入资金开展的公益项目（例如教育、文化、医疗、扶贫等）。请在备注中注明公益项目的名称、主要内容。</w:t>
      </w:r>
    </w:p>
    <w:p w:rsidR="00F81EEE" w:rsidRPr="00DB5FB1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ahoma" w:hint="eastAsia"/>
          <w:kern w:val="0"/>
          <w:sz w:val="24"/>
          <w:szCs w:val="24"/>
        </w:rPr>
      </w:pPr>
      <w:r w:rsidRPr="00DB5FB1">
        <w:rPr>
          <w:rFonts w:ascii="方正书宋_GBK" w:eastAsia="方正书宋_GBK" w:hAnsi="Tahoma" w:hint="eastAsia"/>
          <w:b/>
          <w:kern w:val="0"/>
          <w:sz w:val="24"/>
          <w:szCs w:val="24"/>
        </w:rPr>
        <w:t>3.公益捐赠：</w:t>
      </w:r>
      <w:r w:rsidRPr="00DB5FB1">
        <w:rPr>
          <w:rFonts w:ascii="方正书宋_GBK" w:eastAsia="方正书宋_GBK" w:hAnsi="Tahoma" w:hint="eastAsia"/>
          <w:kern w:val="0"/>
          <w:sz w:val="24"/>
          <w:szCs w:val="24"/>
        </w:rPr>
        <w:t>指通过各种形式捐赠的现金、物品（含公益项目中的捐赠）。</w:t>
      </w:r>
    </w:p>
    <w:p w:rsidR="00F81EEE" w:rsidRPr="00DB5FB1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ahoma" w:hint="eastAsia"/>
          <w:kern w:val="0"/>
          <w:sz w:val="24"/>
          <w:szCs w:val="24"/>
        </w:rPr>
      </w:pPr>
      <w:r w:rsidRPr="00DB5FB1">
        <w:rPr>
          <w:rFonts w:ascii="方正书宋_GBK" w:eastAsia="方正书宋_GBK" w:hAnsi="Tahoma" w:hint="eastAsia"/>
          <w:b/>
          <w:kern w:val="0"/>
          <w:sz w:val="24"/>
          <w:szCs w:val="24"/>
        </w:rPr>
        <w:t>4.其他公益支出：</w:t>
      </w:r>
      <w:r w:rsidRPr="00DB5FB1">
        <w:rPr>
          <w:rFonts w:ascii="方正书宋_GBK" w:eastAsia="方正书宋_GBK" w:hAnsi="Tahoma" w:hint="eastAsia"/>
          <w:kern w:val="0"/>
          <w:sz w:val="24"/>
          <w:szCs w:val="24"/>
        </w:rPr>
        <w:t>指除公益基金、公益项目、公益捐赠以外的其他公益性支出。</w:t>
      </w:r>
    </w:p>
    <w:p w:rsidR="00F81EEE" w:rsidRPr="00DB5FB1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Tahoma" w:hint="eastAsia"/>
          <w:kern w:val="0"/>
          <w:sz w:val="24"/>
          <w:szCs w:val="24"/>
        </w:rPr>
      </w:pPr>
      <w:r w:rsidRPr="00DB5FB1">
        <w:rPr>
          <w:rFonts w:ascii="方正书宋_GBK" w:eastAsia="方正书宋_GBK" w:hAnsi="Tahoma" w:hint="eastAsia"/>
          <w:b/>
          <w:kern w:val="0"/>
          <w:sz w:val="24"/>
          <w:szCs w:val="24"/>
        </w:rPr>
        <w:t>5.</w:t>
      </w:r>
      <w:r w:rsidRPr="00DB5FB1">
        <w:rPr>
          <w:rFonts w:ascii="方正书宋_GBK" w:eastAsia="方正书宋_GBK" w:hAnsi="Tahoma" w:hint="eastAsia"/>
          <w:kern w:val="0"/>
          <w:sz w:val="24"/>
          <w:szCs w:val="24"/>
        </w:rPr>
        <w:t xml:space="preserve"> </w:t>
      </w:r>
      <w:r w:rsidRPr="00DB5FB1">
        <w:rPr>
          <w:rFonts w:ascii="方正书宋_GBK" w:eastAsia="方正书宋_GBK" w:hAnsi="Tahoma" w:hint="eastAsia"/>
          <w:b/>
          <w:kern w:val="0"/>
          <w:sz w:val="24"/>
          <w:szCs w:val="24"/>
        </w:rPr>
        <w:t>投诉咨询热线：</w:t>
      </w:r>
      <w:r>
        <w:rPr>
          <w:rFonts w:ascii="方正书宋_GBK" w:eastAsia="方正书宋_GBK" w:hAnsi="Tahoma" w:hint="eastAsia"/>
          <w:kern w:val="0"/>
          <w:sz w:val="24"/>
          <w:szCs w:val="24"/>
        </w:rPr>
        <w:t>指企业设立的人工解答、自动解答、人工记录、留言记录等形式</w:t>
      </w:r>
      <w:r w:rsidRPr="00DB5FB1">
        <w:rPr>
          <w:rFonts w:ascii="方正书宋_GBK" w:eastAsia="方正书宋_GBK" w:hAnsi="Tahoma" w:hint="eastAsia"/>
          <w:kern w:val="0"/>
          <w:sz w:val="24"/>
          <w:szCs w:val="24"/>
        </w:rPr>
        <w:t>的电话热线。</w:t>
      </w:r>
    </w:p>
    <w:p w:rsidR="00F81EEE" w:rsidRPr="00155F77" w:rsidRDefault="00F81EEE" w:rsidP="00F81EEE">
      <w:pPr>
        <w:widowControl/>
        <w:tabs>
          <w:tab w:val="left" w:pos="28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方正书宋_GBK" w:eastAsia="方正书宋_GBK" w:hAnsi="宋体" w:hint="eastAsia"/>
          <w:kern w:val="0"/>
          <w:sz w:val="24"/>
          <w:szCs w:val="24"/>
        </w:rPr>
      </w:pPr>
      <w:r>
        <w:rPr>
          <w:rFonts w:ascii="方正书宋_GBK" w:eastAsia="方正书宋_GBK" w:hAnsi="宋体" w:cs="宋体" w:hint="eastAsia"/>
          <w:b/>
          <w:color w:val="000000"/>
          <w:kern w:val="0"/>
          <w:sz w:val="24"/>
          <w:szCs w:val="24"/>
        </w:rPr>
        <w:t>6</w:t>
      </w:r>
      <w:r w:rsidRPr="00DB5FB1">
        <w:rPr>
          <w:rFonts w:ascii="方正书宋_GBK" w:eastAsia="方正书宋_GBK" w:hAnsi="宋体" w:cs="宋体" w:hint="eastAsia"/>
          <w:b/>
          <w:color w:val="000000"/>
          <w:kern w:val="0"/>
          <w:sz w:val="24"/>
          <w:szCs w:val="24"/>
        </w:rPr>
        <w:t>.调解/和解案件：</w:t>
      </w:r>
      <w:r w:rsidRPr="00DB5FB1">
        <w:rPr>
          <w:rFonts w:ascii="方正书宋_GBK" w:eastAsia="方正书宋_GBK" w:hAnsi="宋体" w:cs="宋体" w:hint="eastAsia"/>
          <w:color w:val="000000"/>
          <w:kern w:val="0"/>
          <w:sz w:val="24"/>
          <w:szCs w:val="24"/>
        </w:rPr>
        <w:t>包括消费者自主撤诉案件。</w:t>
      </w:r>
    </w:p>
    <w:p w:rsidR="00684F24" w:rsidRPr="00F81EEE" w:rsidRDefault="00684F24">
      <w:bookmarkStart w:id="0" w:name="_GoBack"/>
      <w:bookmarkEnd w:id="0"/>
    </w:p>
    <w:sectPr w:rsidR="00684F24" w:rsidRPr="00F81EEE" w:rsidSect="00637BB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77" w:rsidRDefault="00F81E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81EEE">
      <w:rPr>
        <w:noProof/>
        <w:lang w:val="zh-CN"/>
      </w:rPr>
      <w:t>1</w:t>
    </w:r>
    <w:r>
      <w:fldChar w:fldCharType="end"/>
    </w:r>
  </w:p>
  <w:p w:rsidR="00155F77" w:rsidRDefault="00F81E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EE"/>
    <w:rsid w:val="00684F24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1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81EE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1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81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2017-05-26T08:50:00Z</dcterms:created>
  <dcterms:modified xsi:type="dcterms:W3CDTF">2017-05-26T08:50:00Z</dcterms:modified>
</cp:coreProperties>
</file>