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pacing w:val="-20"/>
          <w:sz w:val="52"/>
          <w:szCs w:val="52"/>
        </w:rPr>
      </w:pPr>
      <w:r>
        <w:rPr>
          <w:spacing w:val="-20"/>
          <w:sz w:val="52"/>
          <w:szCs w:val="52"/>
        </w:rPr>
        <w:t>茧丝绸行业信息</w:t>
      </w:r>
      <w:r>
        <w:rPr>
          <w:rFonts w:hint="eastAsia"/>
          <w:spacing w:val="-20"/>
          <w:sz w:val="52"/>
          <w:szCs w:val="52"/>
        </w:rPr>
        <w:t>监测统计</w:t>
      </w:r>
      <w:r>
        <w:rPr>
          <w:spacing w:val="-20"/>
          <w:sz w:val="52"/>
          <w:szCs w:val="52"/>
        </w:rPr>
        <w:t>报表制度</w:t>
      </w:r>
    </w:p>
    <w:p>
      <w:pPr>
        <w:jc w:val="center"/>
        <w:rPr>
          <w:sz w:val="36"/>
          <w:szCs w:val="36"/>
        </w:rPr>
      </w:pPr>
      <w:r>
        <w:rPr>
          <w:sz w:val="36"/>
          <w:szCs w:val="36"/>
        </w:rPr>
        <w:t>（2016年—2018年）</w:t>
      </w:r>
    </w:p>
    <w:p>
      <w:pPr>
        <w:widowControl/>
        <w:snapToGrid w:val="0"/>
        <w:spacing w:line="360" w:lineRule="auto"/>
        <w:jc w:val="center"/>
        <w:rPr>
          <w:bCs/>
          <w:kern w:val="0"/>
          <w:sz w:val="52"/>
          <w:szCs w:val="52"/>
        </w:rPr>
      </w:pP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rPr>
          <w:b/>
          <w:bCs/>
          <w:kern w:val="0"/>
          <w:sz w:val="30"/>
        </w:rPr>
      </w:pPr>
    </w:p>
    <w:p>
      <w:pPr>
        <w:jc w:val="center"/>
        <w:rPr>
          <w:sz w:val="32"/>
          <w:szCs w:val="32"/>
        </w:rPr>
      </w:pPr>
      <w:r>
        <w:rPr>
          <w:sz w:val="32"/>
          <w:szCs w:val="32"/>
        </w:rPr>
        <w:t>中华人民共和国商务部制定</w:t>
      </w:r>
    </w:p>
    <w:p>
      <w:pPr>
        <w:jc w:val="center"/>
        <w:rPr>
          <w:sz w:val="32"/>
          <w:szCs w:val="32"/>
        </w:rPr>
      </w:pPr>
      <w:r>
        <w:rPr>
          <w:sz w:val="32"/>
          <w:szCs w:val="32"/>
        </w:rPr>
        <w:t>中华人民共和国国家统计局批准</w:t>
      </w:r>
    </w:p>
    <w:p>
      <w:pPr>
        <w:jc w:val="center"/>
        <w:rPr>
          <w:sz w:val="32"/>
          <w:szCs w:val="32"/>
        </w:rPr>
        <w:sectPr>
          <w:pgSz w:w="11906" w:h="16838"/>
          <w:pgMar w:top="1440" w:right="1800" w:bottom="1440" w:left="1800" w:header="851" w:footer="992" w:gutter="0"/>
          <w:cols w:space="425" w:num="1"/>
          <w:docGrid w:type="lines" w:linePitch="312" w:charSpace="0"/>
        </w:sectPr>
      </w:pPr>
      <w:r>
        <w:rPr>
          <w:sz w:val="32"/>
          <w:szCs w:val="32"/>
        </w:rPr>
        <w:t>2016年</w:t>
      </w:r>
      <w:r>
        <w:rPr>
          <w:rFonts w:hint="eastAsia"/>
          <w:sz w:val="32"/>
          <w:szCs w:val="32"/>
          <w:lang w:val="en-US" w:eastAsia="zh-CN"/>
        </w:rPr>
        <w:t>5</w:t>
      </w:r>
      <w:r>
        <w:rPr>
          <w:sz w:val="32"/>
          <w:szCs w:val="32"/>
        </w:rPr>
        <w:t>月</w:t>
      </w:r>
    </w:p>
    <w:p>
      <w:pPr>
        <w:spacing w:line="300" w:lineRule="atLeast"/>
        <w:rPr>
          <w:rFonts w:eastAsia="黑体"/>
          <w:bCs/>
          <w:sz w:val="32"/>
          <w:szCs w:val="32"/>
        </w:rPr>
      </w:pPr>
    </w:p>
    <w:p>
      <w:pPr>
        <w:spacing w:line="300" w:lineRule="atLeast"/>
        <w:rPr>
          <w:rFonts w:eastAsia="黑体"/>
          <w:bCs/>
          <w:sz w:val="32"/>
          <w:szCs w:val="32"/>
        </w:rPr>
      </w:pPr>
    </w:p>
    <w:p>
      <w:pPr>
        <w:spacing w:line="300" w:lineRule="atLeast"/>
        <w:rPr>
          <w:rFonts w:eastAsia="黑体"/>
          <w:bCs/>
          <w:sz w:val="32"/>
          <w:szCs w:val="32"/>
        </w:rPr>
      </w:pPr>
    </w:p>
    <w:p>
      <w:pPr>
        <w:spacing w:line="300" w:lineRule="atLeast"/>
        <w:rPr>
          <w:rFonts w:eastAsia="黑体"/>
          <w:bCs/>
          <w:sz w:val="32"/>
          <w:szCs w:val="32"/>
        </w:rPr>
      </w:pPr>
    </w:p>
    <w:p>
      <w:pPr>
        <w:spacing w:line="300" w:lineRule="atLeast"/>
        <w:jc w:val="center"/>
        <w:rPr>
          <w:bCs/>
          <w:sz w:val="32"/>
          <w:szCs w:val="32"/>
        </w:rPr>
      </w:pPr>
      <w:r>
        <w:rPr>
          <w:bCs/>
          <w:sz w:val="32"/>
          <w:szCs w:val="32"/>
        </w:rPr>
        <w:t>本报表制度根据《中华人民共和国统计法》的有关规定制定</w:t>
      </w:r>
    </w:p>
    <w:p>
      <w:pPr>
        <w:tabs>
          <w:tab w:val="left" w:pos="1425"/>
        </w:tabs>
        <w:spacing w:line="300" w:lineRule="atLeast"/>
        <w:ind w:firstLine="634" w:firstLineChars="198"/>
        <w:rPr>
          <w:rFonts w:eastAsia="黑体"/>
          <w:bCs/>
          <w:sz w:val="32"/>
          <w:szCs w:val="32"/>
        </w:rPr>
      </w:pPr>
      <w:r>
        <w:rPr>
          <w:rFonts w:eastAsia="黑体"/>
          <w:bCs/>
          <w:sz w:val="32"/>
          <w:szCs w:val="32"/>
        </w:rPr>
        <w:tab/>
      </w:r>
    </w:p>
    <w:p>
      <w:pPr>
        <w:spacing w:line="300" w:lineRule="atLeast"/>
        <w:ind w:firstLine="560" w:firstLineChars="200"/>
        <w:rPr>
          <w:rFonts w:eastAsia="仿宋_GB2312"/>
          <w:bCs/>
          <w:sz w:val="28"/>
          <w:szCs w:val="28"/>
        </w:rPr>
      </w:pPr>
      <w:r>
        <w:rPr>
          <w:rFonts w:eastAsia="仿宋_GB2312"/>
          <w:bCs/>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善的统计资料，不得迟报、拒报统计资料。</w:t>
      </w:r>
    </w:p>
    <w:p>
      <w:pPr>
        <w:spacing w:line="300" w:lineRule="atLeast"/>
        <w:ind w:firstLine="554" w:firstLineChars="198"/>
        <w:rPr>
          <w:rFonts w:eastAsia="仿宋_GB2312"/>
          <w:bCs/>
          <w:sz w:val="28"/>
          <w:szCs w:val="28"/>
        </w:rPr>
      </w:pPr>
      <w:r>
        <w:rPr>
          <w:rFonts w:eastAsia="仿宋_GB2312"/>
          <w:bCs/>
          <w:sz w:val="28"/>
          <w:szCs w:val="28"/>
        </w:rPr>
        <w:t>《中华人民共和国统计法》第九条规定：统计机构和统计人员对在统计工作中知悉的国家秘密、商业秘密和个人信息，应当予以保密。</w:t>
      </w: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pStyle w:val="12"/>
        <w:tabs>
          <w:tab w:val="right" w:leader="dot" w:pos="8296"/>
        </w:tabs>
        <w:rPr>
          <w:rFonts w:eastAsia="仿宋_GB2312"/>
          <w:bCs/>
          <w:sz w:val="28"/>
          <w:szCs w:val="28"/>
        </w:rPr>
      </w:pPr>
    </w:p>
    <w:p>
      <w:pPr>
        <w:pStyle w:val="12"/>
        <w:tabs>
          <w:tab w:val="right" w:leader="dot" w:pos="8296"/>
        </w:tabs>
        <w:jc w:val="center"/>
        <w:rPr>
          <w:rFonts w:eastAsia="黑体"/>
          <w:bCs/>
          <w:sz w:val="32"/>
          <w:szCs w:val="28"/>
        </w:rPr>
      </w:pPr>
    </w:p>
    <w:p>
      <w:pPr>
        <w:pStyle w:val="12"/>
        <w:tabs>
          <w:tab w:val="right" w:leader="dot" w:pos="8296"/>
        </w:tabs>
        <w:jc w:val="center"/>
        <w:rPr>
          <w:rFonts w:eastAsia="黑体"/>
          <w:bCs/>
          <w:sz w:val="32"/>
          <w:szCs w:val="28"/>
        </w:rPr>
      </w:pPr>
      <w:r>
        <w:rPr>
          <w:rFonts w:eastAsia="黑体"/>
          <w:bCs/>
          <w:sz w:val="32"/>
          <w:szCs w:val="28"/>
        </w:rPr>
        <w:t>目录</w:t>
      </w:r>
    </w:p>
    <w:p>
      <w:pPr>
        <w:spacing w:line="360" w:lineRule="auto"/>
      </w:pPr>
    </w:p>
    <w:p>
      <w:pPr>
        <w:pStyle w:val="12"/>
        <w:tabs>
          <w:tab w:val="right" w:leader="dot" w:pos="8296"/>
        </w:tabs>
        <w:spacing w:line="360" w:lineRule="auto"/>
        <w:rPr>
          <w:rFonts w:asciiTheme="minorHAnsi" w:hAnsiTheme="minorHAnsi" w:eastAsiaTheme="minorEastAsia" w:cstheme="minorBidi"/>
          <w:szCs w:val="22"/>
        </w:rPr>
      </w:pPr>
      <w:r>
        <w:rPr>
          <w:rFonts w:eastAsiaTheme="minorEastAsia"/>
          <w:bCs/>
          <w:szCs w:val="21"/>
        </w:rPr>
        <w:fldChar w:fldCharType="begin"/>
      </w:r>
      <w:r>
        <w:rPr>
          <w:rFonts w:eastAsiaTheme="minorEastAsia"/>
          <w:bCs/>
          <w:szCs w:val="21"/>
        </w:rPr>
        <w:instrText xml:space="preserve"> TOC \o "1-3" \h \z \u </w:instrText>
      </w:r>
      <w:r>
        <w:rPr>
          <w:rFonts w:eastAsiaTheme="minorEastAsia"/>
          <w:bCs/>
          <w:szCs w:val="21"/>
        </w:rPr>
        <w:fldChar w:fldCharType="separate"/>
      </w:r>
      <w:r>
        <w:fldChar w:fldCharType="begin"/>
      </w:r>
      <w:r>
        <w:instrText xml:space="preserve"> HYPERLINK \l "_Toc443922428" </w:instrText>
      </w:r>
      <w:r>
        <w:fldChar w:fldCharType="separate"/>
      </w:r>
      <w:r>
        <w:rPr>
          <w:rStyle w:val="16"/>
          <w:rFonts w:hint="eastAsia" w:asciiTheme="majorEastAsia" w:hAnsiTheme="majorEastAsia" w:eastAsiaTheme="majorEastAsia"/>
          <w:color w:val="auto"/>
        </w:rPr>
        <w:t>一、总说明</w:t>
      </w:r>
      <w:r>
        <w:tab/>
      </w:r>
      <w:r>
        <w:fldChar w:fldCharType="begin"/>
      </w:r>
      <w:r>
        <w:instrText xml:space="preserve"> PAGEREF _Toc443922428 \h </w:instrText>
      </w:r>
      <w:r>
        <w:fldChar w:fldCharType="separate"/>
      </w:r>
      <w:r>
        <w:t>1</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"_Toc443922429" </w:instrText>
      </w:r>
      <w:r>
        <w:fldChar w:fldCharType="separate"/>
      </w:r>
      <w:r>
        <w:rPr>
          <w:rStyle w:val="16"/>
          <w:rFonts w:hint="eastAsia" w:asciiTheme="majorEastAsia" w:hAnsiTheme="majorEastAsia" w:eastAsiaTheme="majorEastAsia"/>
          <w:color w:val="auto"/>
        </w:rPr>
        <w:t>二、报表目录</w:t>
      </w:r>
      <w:r>
        <w:tab/>
      </w:r>
      <w:r>
        <w:fldChar w:fldCharType="begin"/>
      </w:r>
      <w:r>
        <w:instrText xml:space="preserve"> PAGEREF _Toc443922429 \h </w:instrText>
      </w:r>
      <w:r>
        <w:fldChar w:fldCharType="separate"/>
      </w:r>
      <w:r>
        <w:t>3</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"_Toc443922430" </w:instrText>
      </w:r>
      <w:r>
        <w:fldChar w:fldCharType="separate"/>
      </w:r>
      <w:r>
        <w:rPr>
          <w:rStyle w:val="16"/>
          <w:rFonts w:hint="eastAsia" w:asciiTheme="majorEastAsia" w:hAnsiTheme="majorEastAsia" w:eastAsiaTheme="majorEastAsia"/>
          <w:color w:val="auto"/>
        </w:rPr>
        <w:t>三、调查表式</w:t>
      </w:r>
      <w:r>
        <w:tab/>
      </w:r>
      <w:r>
        <w:fldChar w:fldCharType="begin"/>
      </w:r>
      <w:r>
        <w:instrText xml:space="preserve"> PAGEREF _Toc443922430 \h </w:instrText>
      </w:r>
      <w:r>
        <w:fldChar w:fldCharType="separate"/>
      </w:r>
      <w:r>
        <w:t>5</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"_Toc443922431" </w:instrText>
      </w:r>
      <w:r>
        <w:fldChar w:fldCharType="separate"/>
      </w:r>
      <w:r>
        <w:rPr>
          <w:rStyle w:val="16"/>
          <w:rFonts w:hint="eastAsia"/>
          <w:color w:val="auto"/>
        </w:rPr>
        <w:t>四、主要指标解释</w:t>
      </w:r>
      <w:r>
        <w:tab/>
      </w:r>
      <w:r>
        <w:fldChar w:fldCharType="begin"/>
      </w:r>
      <w:r>
        <w:instrText xml:space="preserve"> PAGEREF _Toc443922431 \h </w:instrText>
      </w:r>
      <w:r>
        <w:fldChar w:fldCharType="separate"/>
      </w:r>
      <w:r>
        <w:t>14</w:t>
      </w:r>
      <w:r>
        <w:fldChar w:fldCharType="end"/>
      </w:r>
      <w:r>
        <w:fldChar w:fldCharType="end"/>
      </w:r>
    </w:p>
    <w:p>
      <w:pPr>
        <w:spacing w:line="360" w:lineRule="auto"/>
        <w:rPr>
          <w:rFonts w:eastAsiaTheme="minorEastAsia"/>
          <w:bCs/>
        </w:rPr>
      </w:pPr>
      <w:r>
        <w:rPr>
          <w:rFonts w:eastAsiaTheme="minorEastAsia"/>
          <w:bCs/>
        </w:rPr>
        <w:fldChar w:fldCharType="end"/>
      </w:r>
    </w:p>
    <w:p>
      <w:pPr>
        <w:spacing w:line="360" w:lineRule="auto"/>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rPr>
          <w:rFonts w:eastAsia="仿宋_GB2312"/>
          <w:bCs/>
          <w:sz w:val="32"/>
          <w:szCs w:val="32"/>
        </w:rPr>
      </w:pPr>
    </w:p>
    <w:p>
      <w:pPr>
        <w:rPr>
          <w:rFonts w:eastAsia="仿宋_GB2312"/>
          <w:bCs/>
          <w:sz w:val="32"/>
          <w:szCs w:val="32"/>
        </w:rPr>
      </w:pPr>
    </w:p>
    <w:p>
      <w:pPr>
        <w:rPr>
          <w:rFonts w:eastAsia="仿宋_GB2312"/>
          <w:bCs/>
          <w:sz w:val="32"/>
          <w:szCs w:val="32"/>
        </w:rPr>
      </w:pPr>
    </w:p>
    <w:p/>
    <w:p>
      <w:pPr>
        <w:pStyle w:val="2"/>
        <w:spacing w:before="0" w:after="0" w:line="276" w:lineRule="auto"/>
        <w:jc w:val="center"/>
        <w:rPr>
          <w:rFonts w:eastAsiaTheme="minorEastAsia"/>
          <w:sz w:val="32"/>
          <w:szCs w:val="32"/>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438208243"/>
      <w:bookmarkStart w:id="1" w:name="_Toc4223"/>
    </w:p>
    <w:p>
      <w:pPr>
        <w:pStyle w:val="2"/>
        <w:spacing w:before="0" w:after="0"/>
        <w:jc w:val="center"/>
        <w:rPr>
          <w:rFonts w:asciiTheme="majorEastAsia" w:hAnsiTheme="majorEastAsia" w:eastAsiaTheme="majorEastAsia"/>
          <w:sz w:val="32"/>
          <w:szCs w:val="32"/>
        </w:rPr>
      </w:pPr>
      <w:bookmarkStart w:id="2" w:name="_Toc443922428"/>
      <w:r>
        <w:rPr>
          <w:rFonts w:asciiTheme="majorEastAsia" w:hAnsiTheme="majorEastAsia" w:eastAsiaTheme="majorEastAsia"/>
          <w:sz w:val="32"/>
          <w:szCs w:val="32"/>
        </w:rPr>
        <w:t>一、总说明</w:t>
      </w:r>
      <w:bookmarkEnd w:id="0"/>
      <w:bookmarkEnd w:id="1"/>
      <w:bookmarkEnd w:id="2"/>
    </w:p>
    <w:p>
      <w:pPr>
        <w:pStyle w:val="7"/>
        <w:spacing w:line="360" w:lineRule="auto"/>
        <w:ind w:firstLine="420" w:firstLineChars="200"/>
        <w:rPr>
          <w:rFonts w:ascii="Times New Roman" w:hAnsi="Times New Roman" w:eastAsiaTheme="minorEastAsia"/>
          <w:szCs w:val="21"/>
        </w:rPr>
      </w:pPr>
    </w:p>
    <w:p>
      <w:pPr>
        <w:pStyle w:val="7"/>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一）为及时、准确掌握我国茧丝绸行业生产经营情况，为政府决策、行业发展和企业经营提供公共信息服务，促进茧丝绸市场平稳健康发展，依照《中华人民共和国统计法》和国务院赋予商务部“监测分析市场运行、商品供求状况，调查分析商品价格信息，进行预测预警和信息引导”的职能，制定《茧丝绸行业信息监测统计报表制度》。</w:t>
      </w:r>
    </w:p>
    <w:p>
      <w:pPr>
        <w:pStyle w:val="7"/>
        <w:spacing w:line="360" w:lineRule="auto"/>
        <w:ind w:firstLine="420" w:firstLineChars="200"/>
        <w:rPr>
          <w:rFonts w:ascii="Times New Roman" w:hAnsi="Times New Roman" w:eastAsiaTheme="minorEastAsia"/>
        </w:rPr>
      </w:pPr>
      <w:r>
        <w:rPr>
          <w:rFonts w:ascii="Times New Roman" w:hAnsi="Times New Roman" w:eastAsiaTheme="minorEastAsia"/>
        </w:rPr>
        <w:t>（二）本制度的统计范围为：1.在当地有代表性，由地方茧丝绸主管部门推荐，经商务部同意的茧丝绸生产类重点企业（包括：蚕茧收烘重点企业、缫丝重点企业、丝绸产品生产重点企业、茧丝绸综合类生产重点企业，下同）和丝绸营销类重点企业，统称茧丝绸重点企业；2.省级茧丝绸主管部门。</w:t>
      </w:r>
    </w:p>
    <w:p>
      <w:pPr>
        <w:pStyle w:val="7"/>
        <w:spacing w:line="360" w:lineRule="auto"/>
        <w:ind w:firstLine="420" w:firstLineChars="200"/>
        <w:rPr>
          <w:rFonts w:ascii="Times New Roman" w:hAnsi="Times New Roman" w:eastAsiaTheme="minorEastAsia"/>
        </w:rPr>
      </w:pPr>
      <w:r>
        <w:rPr>
          <w:rFonts w:ascii="Times New Roman" w:hAnsi="Times New Roman" w:eastAsiaTheme="minorEastAsia"/>
        </w:rPr>
        <w:t>（三）茧丝绸生产类重点企业主要报送：鲜茧、干茧、生丝、坯绸、印染绸、真丝针织、丝绸梭织服装、丝绸制品等的出口价格、内销价格、生产量、内销量、外销量、内销额、外销额、库存量等指标。</w:t>
      </w:r>
    </w:p>
    <w:p>
      <w:pPr>
        <w:spacing w:line="360" w:lineRule="auto"/>
        <w:ind w:firstLine="420" w:firstLineChars="200"/>
        <w:rPr>
          <w:rFonts w:eastAsiaTheme="minorEastAsia"/>
        </w:rPr>
      </w:pPr>
      <w:r>
        <w:rPr>
          <w:rFonts w:eastAsiaTheme="minorEastAsia"/>
        </w:rPr>
        <w:t>（四）丝绸营销类重点企业主要报送：</w:t>
      </w:r>
      <w:r>
        <w:rPr>
          <w:rFonts w:eastAsiaTheme="minorEastAsia"/>
          <w:kern w:val="0"/>
        </w:rPr>
        <w:t>丝绸面料、家纺、服装、服饰和其他丝绸制成品等的</w:t>
      </w:r>
      <w:r>
        <w:rPr>
          <w:rFonts w:eastAsiaTheme="minorEastAsia"/>
        </w:rPr>
        <w:t>内销量、内</w:t>
      </w:r>
      <w:r>
        <w:rPr>
          <w:rFonts w:eastAsiaTheme="minorEastAsia"/>
          <w:kern w:val="0"/>
        </w:rPr>
        <w:t>销额、出口量、出口额、库存量等指标。</w:t>
      </w:r>
    </w:p>
    <w:p>
      <w:pPr>
        <w:spacing w:line="360" w:lineRule="auto"/>
        <w:ind w:firstLine="420" w:firstLineChars="200"/>
        <w:rPr>
          <w:rFonts w:eastAsiaTheme="minorEastAsia"/>
          <w:kern w:val="0"/>
        </w:rPr>
      </w:pPr>
      <w:r>
        <w:rPr>
          <w:rFonts w:eastAsiaTheme="minorEastAsia"/>
        </w:rPr>
        <w:t>（五）省级茧丝绸主管部门主要报送：春茧期间</w:t>
      </w:r>
      <w:r>
        <w:rPr>
          <w:rFonts w:eastAsiaTheme="minorEastAsia"/>
          <w:kern w:val="0"/>
        </w:rPr>
        <w:t>、秋茧</w:t>
      </w:r>
      <w:r>
        <w:rPr>
          <w:rFonts w:eastAsiaTheme="minorEastAsia"/>
        </w:rPr>
        <w:t>期间及全年本地区（含地市）桑园面积</w:t>
      </w:r>
      <w:r>
        <w:rPr>
          <w:rFonts w:eastAsiaTheme="minorEastAsia"/>
          <w:kern w:val="0"/>
        </w:rPr>
        <w:t>、</w:t>
      </w:r>
      <w:r>
        <w:rPr>
          <w:rFonts w:eastAsiaTheme="minorEastAsia"/>
        </w:rPr>
        <w:t>蚕茧发种量</w:t>
      </w:r>
      <w:r>
        <w:rPr>
          <w:rFonts w:eastAsiaTheme="minorEastAsia"/>
          <w:kern w:val="0"/>
        </w:rPr>
        <w:t>、生产量、收购量、蚕茧收购综合均价等指标。</w:t>
      </w:r>
    </w:p>
    <w:p>
      <w:pPr>
        <w:widowControl/>
        <w:spacing w:line="360" w:lineRule="auto"/>
        <w:ind w:firstLine="420" w:firstLineChars="200"/>
        <w:rPr>
          <w:rFonts w:eastAsiaTheme="minorEastAsia"/>
        </w:rPr>
      </w:pPr>
      <w:r>
        <w:rPr>
          <w:rFonts w:eastAsiaTheme="minorEastAsia"/>
        </w:rPr>
        <w:t>（六）本调查项目实行年报、半年报、月报、旬报和日报。省级茧丝绸主管部门每年7月31日前</w:t>
      </w:r>
      <w:r>
        <w:rPr>
          <w:rFonts w:hint="eastAsia" w:eastAsiaTheme="minorEastAsia"/>
        </w:rPr>
        <w:t>在蚕茧生产收购情况表中</w:t>
      </w:r>
      <w:r>
        <w:rPr>
          <w:rFonts w:eastAsiaTheme="minorEastAsia"/>
        </w:rPr>
        <w:t>上报当年春茧生产收购数据，每年11月30日前</w:t>
      </w:r>
      <w:r>
        <w:rPr>
          <w:rFonts w:hint="eastAsia" w:eastAsiaTheme="minorEastAsia"/>
        </w:rPr>
        <w:t>在蚕茧生产收购情况表中</w:t>
      </w:r>
      <w:r>
        <w:rPr>
          <w:rFonts w:eastAsiaTheme="minorEastAsia"/>
        </w:rPr>
        <w:t>上报当年秋茧及全年蚕茧生产收购数据。茧丝绸重点企业首次注册或需更新重要信息时，于年后2月20日前上报基本情况报表。丝绸营销类重点企业每年7月1日-8月1日报送当年主要经济指标半年报表，年后1月1日-2月15日报送上年主要经济指标报表。茧丝绸生产类重点企业每月15日前报送上月主要经济指标。丝绸产品生产重点企业、茧丝绸综合类生产重点企业每月15日前报送上月丝绸产品有关数据。蚕茧收烘重点企业、缫丝重点企业、茧丝绸综合类生产重点企业每月1、11、21日报送上一旬蚕茧和生丝有关数据。广西地区蚕茧收烘重点企业每年5月1日-6月30日每日报送前日春茧收购数据，每年9月1日-10月31日每日报送前日数据秋茧收购数据；其他地区蚕茧收烘重点企业每年6月1日-6月30日每日报送前日春茧收购数据，每年10月1日-10月31日每日报送前日秋茧收购数据。</w:t>
      </w:r>
    </w:p>
    <w:p>
      <w:pPr>
        <w:spacing w:line="360" w:lineRule="auto"/>
        <w:ind w:firstLine="420" w:firstLineChars="200"/>
        <w:rPr>
          <w:rFonts w:eastAsiaTheme="minorEastAsia"/>
        </w:rPr>
      </w:pPr>
      <w:r>
        <w:rPr>
          <w:rFonts w:eastAsiaTheme="minorEastAsia"/>
        </w:rPr>
        <w:t>（七）本调查项目的调查方法为重点调查，省级茧丝绸主管部门、茧丝绸生产类以及丝绸营销类重点企业通过</w:t>
      </w:r>
      <w:r>
        <w:rPr>
          <w:rFonts w:hint="eastAsia" w:eastAsiaTheme="minorEastAsia"/>
        </w:rPr>
        <w:t>全国茧丝绸产业信息服务平台</w:t>
      </w:r>
      <w:r>
        <w:rPr>
          <w:rFonts w:eastAsiaTheme="minorEastAsia"/>
        </w:rPr>
        <w:t>报送数据。商务部市场运行和消费促进司（国家茧丝绸协调办公室）负责监测平台建设、信息采集、加工分析及发布等</w:t>
      </w:r>
      <w:r>
        <w:rPr>
          <w:rFonts w:hint="eastAsia" w:eastAsiaTheme="minorEastAsia"/>
        </w:rPr>
        <w:t>，</w:t>
      </w:r>
      <w:r>
        <w:rPr>
          <w:rFonts w:eastAsiaTheme="minorEastAsia"/>
        </w:rPr>
        <w:t>联系电话：（010）85093883，传真：（010）85093884，电子邮箱：tsspc@mofcom.gov.cn。中国国际电子商务中心负责技术支持，联系电话：4008008866转6</w:t>
      </w:r>
      <w:r>
        <w:rPr>
          <w:rFonts w:hint="eastAsia" w:eastAsiaTheme="minorEastAsia"/>
        </w:rPr>
        <w:t>6</w:t>
      </w:r>
      <w:r>
        <w:rPr>
          <w:rFonts w:eastAsiaTheme="minorEastAsia"/>
        </w:rPr>
        <w:t>2，传真：（010）65287273，电子邮箱：jinyan@ec.com.cn。</w:t>
      </w:r>
    </w:p>
    <w:p>
      <w:pPr>
        <w:spacing w:line="360" w:lineRule="auto"/>
        <w:ind w:firstLine="420" w:firstLineChars="200"/>
        <w:rPr>
          <w:rFonts w:eastAsiaTheme="minorEastAsia"/>
        </w:rPr>
      </w:pPr>
      <w:r>
        <w:rPr>
          <w:rFonts w:eastAsiaTheme="minorEastAsia"/>
        </w:rPr>
        <w:t>（八）如茧丝绸市场发生供求及价格等异常情况，重点企业应立即向当地茧丝绸主管部门报告，地方茧丝绸主管部门应及时向商务部报告。</w:t>
      </w:r>
    </w:p>
    <w:p>
      <w:pPr>
        <w:spacing w:line="360" w:lineRule="auto"/>
        <w:ind w:firstLine="420" w:firstLineChars="200"/>
        <w:rPr>
          <w:rFonts w:eastAsiaTheme="minorEastAsia"/>
        </w:rPr>
      </w:pPr>
      <w:r>
        <w:rPr>
          <w:rFonts w:eastAsiaTheme="minorEastAsia"/>
        </w:rPr>
        <w:t>（九）商务部、地方茧丝绸主管部门和中国纺织品商业协会对重点企业所报送的数据严格保密，未经企业同意，不得将数据用于政府统计分析以外的任何其他用途。</w:t>
      </w:r>
    </w:p>
    <w:p>
      <w:pPr>
        <w:spacing w:line="360" w:lineRule="auto"/>
        <w:ind w:firstLine="420" w:firstLineChars="200"/>
        <w:rPr>
          <w:rFonts w:eastAsiaTheme="minorEastAsia"/>
        </w:rPr>
      </w:pPr>
      <w:r>
        <w:rPr>
          <w:rFonts w:eastAsiaTheme="minorEastAsia"/>
        </w:rPr>
        <w:t>（十）</w:t>
      </w:r>
      <w:bookmarkStart w:id="3" w:name="_Toc438208244"/>
      <w:r>
        <w:rPr>
          <w:rFonts w:eastAsiaTheme="minorEastAsia"/>
        </w:rPr>
        <w:t>本调查项目获取的数据可与国务院统计主管部门及相关部门共享，</w:t>
      </w:r>
      <w:r>
        <w:rPr>
          <w:rFonts w:hint="eastAsia" w:eastAsiaTheme="minorEastAsia"/>
        </w:rPr>
        <w:t>如需对外发布，发布前与国务院统计主管部门协商</w:t>
      </w:r>
      <w:r>
        <w:rPr>
          <w:rFonts w:eastAsiaTheme="minorEastAsia"/>
        </w:rPr>
        <w:t>。</w:t>
      </w: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rPr>
          <w:rFonts w:eastAsia="黑体"/>
          <w:sz w:val="32"/>
          <w:szCs w:val="32"/>
        </w:rPr>
      </w:pPr>
    </w:p>
    <w:p>
      <w:pPr>
        <w:pStyle w:val="2"/>
        <w:spacing w:before="0" w:after="0"/>
        <w:jc w:val="center"/>
        <w:rPr>
          <w:rFonts w:asciiTheme="majorEastAsia" w:hAnsiTheme="majorEastAsia" w:eastAsiaTheme="majorEastAsia"/>
          <w:sz w:val="32"/>
          <w:szCs w:val="32"/>
        </w:rPr>
      </w:pPr>
      <w:bookmarkStart w:id="4" w:name="_Toc443922429"/>
      <w:r>
        <w:rPr>
          <w:rFonts w:asciiTheme="majorEastAsia" w:hAnsiTheme="majorEastAsia" w:eastAsiaTheme="majorEastAsia"/>
          <w:sz w:val="32"/>
          <w:szCs w:val="32"/>
        </w:rPr>
        <w:t>二、报表目录</w:t>
      </w:r>
      <w:bookmarkEnd w:id="3"/>
      <w:bookmarkEnd w:id="4"/>
    </w:p>
    <w:p>
      <w:pPr>
        <w:rPr>
          <w:rFonts w:eastAsia="黑体"/>
        </w:rPr>
      </w:pPr>
    </w:p>
    <w:tbl>
      <w:tblPr>
        <w:tblStyle w:val="19"/>
        <w:tblW w:w="88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851"/>
        <w:gridCol w:w="1417"/>
        <w:gridCol w:w="1688"/>
        <w:gridCol w:w="2079"/>
        <w:gridCol w:w="5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34" w:type="dxa"/>
            <w:vAlign w:val="center"/>
          </w:tcPr>
          <w:p>
            <w:pPr>
              <w:widowControl/>
              <w:jc w:val="center"/>
              <w:rPr>
                <w:kern w:val="0"/>
                <w:sz w:val="18"/>
                <w:szCs w:val="18"/>
              </w:rPr>
            </w:pPr>
            <w:r>
              <w:rPr>
                <w:kern w:val="0"/>
                <w:sz w:val="18"/>
                <w:szCs w:val="18"/>
              </w:rPr>
              <w:t>表号</w:t>
            </w:r>
          </w:p>
        </w:tc>
        <w:tc>
          <w:tcPr>
            <w:tcW w:w="1134" w:type="dxa"/>
            <w:vAlign w:val="center"/>
          </w:tcPr>
          <w:p>
            <w:pPr>
              <w:widowControl/>
              <w:jc w:val="center"/>
              <w:rPr>
                <w:kern w:val="0"/>
                <w:sz w:val="18"/>
                <w:szCs w:val="18"/>
              </w:rPr>
            </w:pPr>
            <w:r>
              <w:rPr>
                <w:kern w:val="0"/>
                <w:sz w:val="18"/>
                <w:szCs w:val="18"/>
              </w:rPr>
              <w:t>表名</w:t>
            </w:r>
          </w:p>
        </w:tc>
        <w:tc>
          <w:tcPr>
            <w:tcW w:w="851" w:type="dxa"/>
            <w:vAlign w:val="center"/>
          </w:tcPr>
          <w:p>
            <w:pPr>
              <w:widowControl/>
              <w:jc w:val="center"/>
              <w:rPr>
                <w:kern w:val="0"/>
                <w:sz w:val="18"/>
                <w:szCs w:val="18"/>
              </w:rPr>
            </w:pPr>
            <w:r>
              <w:rPr>
                <w:kern w:val="0"/>
                <w:sz w:val="18"/>
                <w:szCs w:val="18"/>
              </w:rPr>
              <w:t>报告</w:t>
            </w:r>
          </w:p>
          <w:p>
            <w:pPr>
              <w:widowControl/>
              <w:jc w:val="center"/>
              <w:rPr>
                <w:kern w:val="0"/>
                <w:sz w:val="18"/>
                <w:szCs w:val="18"/>
              </w:rPr>
            </w:pPr>
            <w:r>
              <w:rPr>
                <w:kern w:val="0"/>
                <w:sz w:val="18"/>
                <w:szCs w:val="18"/>
              </w:rPr>
              <w:t>期别</w:t>
            </w:r>
          </w:p>
        </w:tc>
        <w:tc>
          <w:tcPr>
            <w:tcW w:w="1417" w:type="dxa"/>
            <w:vAlign w:val="center"/>
          </w:tcPr>
          <w:p>
            <w:pPr>
              <w:widowControl/>
              <w:jc w:val="center"/>
              <w:rPr>
                <w:kern w:val="0"/>
                <w:sz w:val="18"/>
                <w:szCs w:val="18"/>
              </w:rPr>
            </w:pPr>
            <w:r>
              <w:rPr>
                <w:kern w:val="0"/>
                <w:sz w:val="18"/>
                <w:szCs w:val="18"/>
              </w:rPr>
              <w:t>填报范围</w:t>
            </w:r>
          </w:p>
        </w:tc>
        <w:tc>
          <w:tcPr>
            <w:tcW w:w="1688" w:type="dxa"/>
            <w:vAlign w:val="center"/>
          </w:tcPr>
          <w:p>
            <w:pPr>
              <w:widowControl/>
              <w:ind w:left="-107" w:leftChars="-51" w:right="-208" w:rightChars="-99"/>
              <w:jc w:val="center"/>
              <w:rPr>
                <w:kern w:val="0"/>
                <w:sz w:val="18"/>
                <w:szCs w:val="18"/>
              </w:rPr>
            </w:pPr>
            <w:r>
              <w:rPr>
                <w:kern w:val="0"/>
                <w:sz w:val="18"/>
                <w:szCs w:val="18"/>
              </w:rPr>
              <w:t>报送单位</w:t>
            </w:r>
          </w:p>
        </w:tc>
        <w:tc>
          <w:tcPr>
            <w:tcW w:w="2079" w:type="dxa"/>
            <w:vAlign w:val="center"/>
          </w:tcPr>
          <w:p>
            <w:pPr>
              <w:widowControl/>
              <w:ind w:left="-107" w:leftChars="-51" w:right="-208" w:rightChars="-99"/>
              <w:jc w:val="center"/>
              <w:rPr>
                <w:kern w:val="0"/>
                <w:sz w:val="18"/>
                <w:szCs w:val="18"/>
              </w:rPr>
            </w:pPr>
            <w:r>
              <w:rPr>
                <w:kern w:val="0"/>
                <w:sz w:val="18"/>
                <w:szCs w:val="18"/>
              </w:rPr>
              <w:t>报送日期及方式</w:t>
            </w:r>
          </w:p>
        </w:tc>
        <w:tc>
          <w:tcPr>
            <w:tcW w:w="543" w:type="dxa"/>
            <w:vAlign w:val="center"/>
          </w:tcPr>
          <w:p>
            <w:pPr>
              <w:widowControl/>
              <w:ind w:right="-208" w:rightChars="-99"/>
              <w:rPr>
                <w:kern w:val="0"/>
                <w:sz w:val="18"/>
                <w:szCs w:val="18"/>
              </w:rPr>
            </w:pPr>
            <w:r>
              <w:rPr>
                <w:rFonts w:hint="eastAsia"/>
                <w:kern w:val="0"/>
                <w:sz w:val="18"/>
                <w:szCs w:val="18"/>
              </w:rPr>
              <w:t>页码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34" w:type="dxa"/>
            <w:vAlign w:val="center"/>
          </w:tcPr>
          <w:p>
            <w:pPr>
              <w:widowControl/>
              <w:jc w:val="center"/>
              <w:rPr>
                <w:kern w:val="0"/>
                <w:sz w:val="18"/>
                <w:szCs w:val="18"/>
              </w:rPr>
            </w:pPr>
            <w:r>
              <w:rPr>
                <w:kern w:val="0"/>
                <w:sz w:val="18"/>
                <w:szCs w:val="18"/>
              </w:rPr>
              <w:t>蚕茧1表</w:t>
            </w:r>
          </w:p>
        </w:tc>
        <w:tc>
          <w:tcPr>
            <w:tcW w:w="1134" w:type="dxa"/>
            <w:vAlign w:val="center"/>
          </w:tcPr>
          <w:p>
            <w:pPr>
              <w:widowControl/>
              <w:jc w:val="center"/>
              <w:rPr>
                <w:kern w:val="0"/>
                <w:sz w:val="18"/>
                <w:szCs w:val="18"/>
              </w:rPr>
            </w:pPr>
            <w:r>
              <w:rPr>
                <w:rFonts w:hint="eastAsia"/>
                <w:kern w:val="0"/>
                <w:sz w:val="18"/>
                <w:szCs w:val="18"/>
              </w:rPr>
              <w:t>蚕茧生产</w:t>
            </w:r>
            <w:r>
              <w:rPr>
                <w:kern w:val="0"/>
                <w:sz w:val="18"/>
                <w:szCs w:val="18"/>
              </w:rPr>
              <w:t>收购情况表</w:t>
            </w:r>
          </w:p>
          <w:p>
            <w:pPr>
              <w:widowControl/>
              <w:jc w:val="center"/>
              <w:rPr>
                <w:kern w:val="0"/>
                <w:sz w:val="18"/>
                <w:szCs w:val="18"/>
              </w:rPr>
            </w:pPr>
          </w:p>
        </w:tc>
        <w:tc>
          <w:tcPr>
            <w:tcW w:w="851" w:type="dxa"/>
            <w:vAlign w:val="center"/>
          </w:tcPr>
          <w:p>
            <w:pPr>
              <w:widowControl/>
              <w:jc w:val="center"/>
              <w:rPr>
                <w:kern w:val="0"/>
                <w:sz w:val="18"/>
                <w:szCs w:val="18"/>
              </w:rPr>
            </w:pPr>
            <w:r>
              <w:rPr>
                <w:kern w:val="0"/>
                <w:sz w:val="18"/>
                <w:szCs w:val="18"/>
              </w:rPr>
              <w:t>半年</w:t>
            </w:r>
          </w:p>
          <w:p>
            <w:pPr>
              <w:widowControl/>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kern w:val="0"/>
                <w:sz w:val="18"/>
                <w:szCs w:val="18"/>
              </w:rPr>
              <w:t>省级茧丝绸</w:t>
            </w:r>
          </w:p>
          <w:p>
            <w:pPr>
              <w:widowControl/>
              <w:jc w:val="center"/>
              <w:rPr>
                <w:kern w:val="0"/>
                <w:sz w:val="18"/>
                <w:szCs w:val="18"/>
              </w:rPr>
            </w:pPr>
            <w:r>
              <w:rPr>
                <w:kern w:val="0"/>
                <w:sz w:val="18"/>
                <w:szCs w:val="18"/>
              </w:rPr>
              <w:t>主管部门</w:t>
            </w:r>
          </w:p>
        </w:tc>
        <w:tc>
          <w:tcPr>
            <w:tcW w:w="1688" w:type="dxa"/>
            <w:vAlign w:val="center"/>
          </w:tcPr>
          <w:p>
            <w:pPr>
              <w:widowControl/>
              <w:ind w:left="-107" w:leftChars="-51" w:right="-208" w:rightChars="-99"/>
              <w:jc w:val="center"/>
              <w:rPr>
                <w:kern w:val="0"/>
                <w:sz w:val="18"/>
                <w:szCs w:val="18"/>
              </w:rPr>
            </w:pPr>
            <w:r>
              <w:rPr>
                <w:kern w:val="0"/>
                <w:sz w:val="18"/>
                <w:szCs w:val="18"/>
              </w:rPr>
              <w:t>省级茧丝绸</w:t>
            </w:r>
          </w:p>
          <w:p>
            <w:pPr>
              <w:widowControl/>
              <w:ind w:left="-107" w:leftChars="-51" w:right="-208" w:rightChars="-99"/>
              <w:jc w:val="center"/>
              <w:rPr>
                <w:kern w:val="0"/>
                <w:sz w:val="18"/>
                <w:szCs w:val="18"/>
              </w:rPr>
            </w:pPr>
            <w:r>
              <w:rPr>
                <w:kern w:val="0"/>
                <w:sz w:val="18"/>
                <w:szCs w:val="18"/>
              </w:rPr>
              <w:t>主管部门</w:t>
            </w:r>
          </w:p>
        </w:tc>
        <w:tc>
          <w:tcPr>
            <w:tcW w:w="2079" w:type="dxa"/>
            <w:vAlign w:val="center"/>
          </w:tcPr>
          <w:p>
            <w:pPr>
              <w:widowControl/>
              <w:ind w:left="-107" w:leftChars="-51" w:right="-208" w:rightChars="-99"/>
              <w:jc w:val="center"/>
              <w:rPr>
                <w:rFonts w:hint="eastAsia"/>
                <w:kern w:val="0"/>
                <w:sz w:val="18"/>
                <w:szCs w:val="18"/>
              </w:rPr>
            </w:pPr>
            <w:r>
              <w:rPr>
                <w:rFonts w:hint="eastAsia"/>
                <w:kern w:val="0"/>
                <w:sz w:val="18"/>
                <w:szCs w:val="18"/>
              </w:rPr>
              <w:t>当年</w:t>
            </w:r>
            <w:r>
              <w:rPr>
                <w:kern w:val="0"/>
                <w:sz w:val="18"/>
                <w:szCs w:val="18"/>
              </w:rPr>
              <w:t>7月31日前</w:t>
            </w:r>
            <w:r>
              <w:rPr>
                <w:rFonts w:hint="eastAsia"/>
                <w:kern w:val="0"/>
                <w:sz w:val="18"/>
                <w:szCs w:val="18"/>
              </w:rPr>
              <w:t>、</w:t>
            </w:r>
          </w:p>
          <w:p>
            <w:pPr>
              <w:widowControl/>
              <w:ind w:left="-107" w:leftChars="-51" w:right="-208" w:rightChars="-99"/>
              <w:jc w:val="center"/>
              <w:rPr>
                <w:kern w:val="0"/>
                <w:sz w:val="18"/>
                <w:szCs w:val="18"/>
              </w:rPr>
            </w:pPr>
            <w:r>
              <w:rPr>
                <w:rFonts w:hint="eastAsia"/>
                <w:kern w:val="0"/>
                <w:sz w:val="18"/>
                <w:szCs w:val="18"/>
              </w:rPr>
              <w:t>当年</w:t>
            </w:r>
            <w:bookmarkStart w:id="13" w:name="_GoBack"/>
            <w:bookmarkEnd w:id="13"/>
            <w:r>
              <w:rPr>
                <w:kern w:val="0"/>
                <w:sz w:val="18"/>
                <w:szCs w:val="18"/>
              </w:rPr>
              <w:t>11月30日前</w:t>
            </w:r>
            <w:r>
              <w:rPr>
                <w:rFonts w:hint="eastAsia"/>
                <w:kern w:val="0"/>
                <w:sz w:val="18"/>
                <w:szCs w:val="18"/>
              </w:rPr>
              <w:t>。</w:t>
            </w:r>
          </w:p>
          <w:p>
            <w:pPr>
              <w:widowControl/>
              <w:ind w:left="-107" w:leftChars="-51" w:right="-208" w:rightChars="-99"/>
              <w:jc w:val="center"/>
              <w:rPr>
                <w:kern w:val="0"/>
                <w:sz w:val="18"/>
                <w:szCs w:val="18"/>
              </w:rPr>
            </w:pPr>
            <w:r>
              <w:rPr>
                <w:rFonts w:hint="eastAsia"/>
                <w:kern w:val="0"/>
                <w:sz w:val="18"/>
                <w:szCs w:val="18"/>
              </w:rPr>
              <w:t>网上直接报送。</w:t>
            </w:r>
          </w:p>
        </w:tc>
        <w:tc>
          <w:tcPr>
            <w:tcW w:w="543" w:type="dxa"/>
          </w:tcPr>
          <w:p>
            <w:pPr>
              <w:widowControl/>
              <w:ind w:left="-107" w:leftChars="-51" w:right="-208" w:rightChars="-99"/>
              <w:jc w:val="center"/>
              <w:rPr>
                <w:kern w:val="0"/>
                <w:sz w:val="18"/>
                <w:szCs w:val="18"/>
              </w:rPr>
            </w:pPr>
          </w:p>
          <w:p>
            <w:pPr>
              <w:widowControl/>
              <w:ind w:right="-208" w:rightChars="-99" w:firstLine="90" w:firstLineChars="50"/>
              <w:rPr>
                <w:kern w:val="0"/>
                <w:sz w:val="18"/>
                <w:szCs w:val="18"/>
              </w:rPr>
            </w:pPr>
            <w:r>
              <w:rPr>
                <w:rFonts w:hint="eastAsia"/>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1134" w:type="dxa"/>
            <w:vAlign w:val="center"/>
          </w:tcPr>
          <w:p>
            <w:pPr>
              <w:widowControl/>
              <w:jc w:val="center"/>
              <w:rPr>
                <w:kern w:val="0"/>
                <w:sz w:val="18"/>
                <w:szCs w:val="18"/>
              </w:rPr>
            </w:pPr>
            <w:r>
              <w:rPr>
                <w:kern w:val="0"/>
                <w:sz w:val="18"/>
                <w:szCs w:val="18"/>
              </w:rPr>
              <w:t>企业1表</w:t>
            </w:r>
          </w:p>
        </w:tc>
        <w:tc>
          <w:tcPr>
            <w:tcW w:w="1134" w:type="dxa"/>
            <w:vAlign w:val="center"/>
          </w:tcPr>
          <w:p>
            <w:pPr>
              <w:widowControl/>
              <w:jc w:val="center"/>
              <w:rPr>
                <w:kern w:val="0"/>
                <w:sz w:val="18"/>
                <w:szCs w:val="18"/>
              </w:rPr>
            </w:pPr>
            <w:r>
              <w:rPr>
                <w:kern w:val="0"/>
                <w:sz w:val="18"/>
                <w:szCs w:val="18"/>
              </w:rPr>
              <w:t>茧丝绸企业</w:t>
            </w:r>
          </w:p>
          <w:p>
            <w:pPr>
              <w:widowControl/>
              <w:jc w:val="center"/>
              <w:rPr>
                <w:kern w:val="0"/>
                <w:sz w:val="18"/>
                <w:szCs w:val="18"/>
              </w:rPr>
            </w:pPr>
            <w:r>
              <w:rPr>
                <w:kern w:val="0"/>
                <w:sz w:val="18"/>
                <w:szCs w:val="18"/>
              </w:rPr>
              <w:t>基本情况</w:t>
            </w:r>
          </w:p>
          <w:p>
            <w:pPr>
              <w:widowControl/>
              <w:jc w:val="center"/>
              <w:rPr>
                <w:kern w:val="0"/>
                <w:sz w:val="18"/>
                <w:szCs w:val="18"/>
              </w:rPr>
            </w:pPr>
            <w:r>
              <w:rPr>
                <w:kern w:val="0"/>
                <w:sz w:val="18"/>
                <w:szCs w:val="18"/>
              </w:rPr>
              <w:t>年报表</w:t>
            </w:r>
          </w:p>
        </w:tc>
        <w:tc>
          <w:tcPr>
            <w:tcW w:w="851" w:type="dxa"/>
            <w:vAlign w:val="center"/>
          </w:tcPr>
          <w:p>
            <w:pPr>
              <w:widowControl/>
              <w:ind w:firstLine="90" w:firstLineChars="50"/>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rFonts w:hint="eastAsia"/>
                <w:kern w:val="0"/>
                <w:sz w:val="18"/>
                <w:szCs w:val="18"/>
              </w:rPr>
              <w:t>茧丝绸生产类企业和丝绸营销类企业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center"/>
              <w:rPr>
                <w:kern w:val="0"/>
                <w:sz w:val="18"/>
                <w:szCs w:val="18"/>
              </w:rPr>
            </w:pPr>
            <w:r>
              <w:rPr>
                <w:rFonts w:hint="eastAsia"/>
                <w:kern w:val="0"/>
                <w:sz w:val="18"/>
                <w:szCs w:val="18"/>
              </w:rPr>
              <w:t>茧丝绸重点企业</w:t>
            </w:r>
          </w:p>
        </w:tc>
        <w:tc>
          <w:tcPr>
            <w:tcW w:w="2079" w:type="dxa"/>
            <w:vAlign w:val="center"/>
          </w:tcPr>
          <w:p>
            <w:pPr>
              <w:widowControl/>
              <w:jc w:val="left"/>
              <w:rPr>
                <w:kern w:val="0"/>
                <w:sz w:val="18"/>
                <w:szCs w:val="18"/>
              </w:rPr>
            </w:pPr>
            <w:r>
              <w:rPr>
                <w:kern w:val="0"/>
                <w:sz w:val="18"/>
                <w:szCs w:val="18"/>
              </w:rPr>
              <w:t>首次注册时填报，如相关信息发生变化，需及时进行更新，</w:t>
            </w:r>
            <w:r>
              <w:rPr>
                <w:rFonts w:hint="eastAsia"/>
                <w:kern w:val="0"/>
                <w:sz w:val="18"/>
                <w:szCs w:val="18"/>
              </w:rPr>
              <w:t>年后</w:t>
            </w:r>
            <w:r>
              <w:rPr>
                <w:kern w:val="0"/>
                <w:sz w:val="18"/>
                <w:szCs w:val="18"/>
              </w:rPr>
              <w:t>2月20日前</w:t>
            </w:r>
            <w:r>
              <w:rPr>
                <w:rFonts w:hint="eastAsia"/>
                <w:kern w:val="0"/>
                <w:sz w:val="18"/>
                <w:szCs w:val="18"/>
              </w:rPr>
              <w:t>。网上直接报送</w:t>
            </w:r>
            <w:r>
              <w:rPr>
                <w:kern w:val="0"/>
                <w:sz w:val="18"/>
                <w:szCs w:val="18"/>
              </w:rPr>
              <w:t>。</w:t>
            </w:r>
          </w:p>
        </w:tc>
        <w:tc>
          <w:tcPr>
            <w:tcW w:w="543"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134" w:type="dxa"/>
            <w:vAlign w:val="center"/>
          </w:tcPr>
          <w:p>
            <w:pPr>
              <w:widowControl/>
              <w:jc w:val="center"/>
              <w:rPr>
                <w:kern w:val="0"/>
                <w:sz w:val="18"/>
                <w:szCs w:val="18"/>
              </w:rPr>
            </w:pPr>
            <w:r>
              <w:rPr>
                <w:kern w:val="0"/>
                <w:sz w:val="18"/>
                <w:szCs w:val="18"/>
              </w:rPr>
              <w:t>企业2表</w:t>
            </w:r>
          </w:p>
        </w:tc>
        <w:tc>
          <w:tcPr>
            <w:tcW w:w="1134" w:type="dxa"/>
            <w:vAlign w:val="center"/>
          </w:tcPr>
          <w:p>
            <w:pPr>
              <w:widowControl/>
              <w:jc w:val="center"/>
              <w:rPr>
                <w:kern w:val="0"/>
                <w:sz w:val="18"/>
                <w:szCs w:val="18"/>
              </w:rPr>
            </w:pPr>
            <w:r>
              <w:rPr>
                <w:kern w:val="0"/>
                <w:sz w:val="18"/>
                <w:szCs w:val="18"/>
              </w:rPr>
              <w:t>茧丝绸</w:t>
            </w:r>
            <w:r>
              <w:rPr>
                <w:rFonts w:hint="eastAsia"/>
                <w:kern w:val="0"/>
                <w:sz w:val="18"/>
                <w:szCs w:val="18"/>
              </w:rPr>
              <w:t>生产类</w:t>
            </w:r>
            <w:r>
              <w:rPr>
                <w:kern w:val="0"/>
                <w:sz w:val="18"/>
                <w:szCs w:val="18"/>
              </w:rPr>
              <w:t>企业</w:t>
            </w:r>
          </w:p>
          <w:p>
            <w:pPr>
              <w:widowControl/>
              <w:jc w:val="center"/>
              <w:rPr>
                <w:kern w:val="0"/>
                <w:sz w:val="18"/>
                <w:szCs w:val="18"/>
              </w:rPr>
            </w:pPr>
            <w:r>
              <w:rPr>
                <w:kern w:val="0"/>
                <w:sz w:val="18"/>
                <w:szCs w:val="18"/>
              </w:rPr>
              <w:t>主要经济</w:t>
            </w:r>
          </w:p>
          <w:p>
            <w:pPr>
              <w:widowControl/>
              <w:jc w:val="center"/>
              <w:rPr>
                <w:kern w:val="0"/>
                <w:sz w:val="18"/>
                <w:szCs w:val="18"/>
              </w:rPr>
            </w:pPr>
            <w:r>
              <w:rPr>
                <w:kern w:val="0"/>
                <w:sz w:val="18"/>
                <w:szCs w:val="18"/>
              </w:rPr>
              <w:t>指标月报表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蚕茧收烘企业，缫丝企业，丝绸产品生产企业，茧丝绸综合类生产企业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center"/>
              <w:rPr>
                <w:kern w:val="0"/>
                <w:sz w:val="18"/>
                <w:szCs w:val="18"/>
              </w:rPr>
            </w:pPr>
            <w:r>
              <w:rPr>
                <w:rFonts w:hint="eastAsia"/>
                <w:kern w:val="0"/>
                <w:sz w:val="18"/>
                <w:szCs w:val="18"/>
              </w:rPr>
              <w:t>茧丝绸生产类</w:t>
            </w:r>
          </w:p>
          <w:p>
            <w:pPr>
              <w:widowControl/>
              <w:ind w:left="-107" w:leftChars="-51" w:right="-208" w:rightChars="-99"/>
              <w:jc w:val="center"/>
              <w:rPr>
                <w:kern w:val="0"/>
                <w:sz w:val="18"/>
                <w:szCs w:val="18"/>
              </w:rPr>
            </w:pPr>
            <w:r>
              <w:rPr>
                <w:rFonts w:hint="eastAsia"/>
                <w:kern w:val="0"/>
                <w:sz w:val="18"/>
                <w:szCs w:val="18"/>
              </w:rPr>
              <w:t>重点企业</w:t>
            </w:r>
          </w:p>
        </w:tc>
        <w:tc>
          <w:tcPr>
            <w:tcW w:w="2079" w:type="dxa"/>
            <w:vAlign w:val="center"/>
          </w:tcPr>
          <w:p>
            <w:pPr>
              <w:widowControl/>
              <w:jc w:val="center"/>
              <w:rPr>
                <w:kern w:val="0"/>
                <w:sz w:val="18"/>
                <w:szCs w:val="18"/>
              </w:rPr>
            </w:pPr>
            <w:r>
              <w:rPr>
                <w:rFonts w:hint="eastAsia"/>
                <w:kern w:val="0"/>
                <w:sz w:val="18"/>
                <w:szCs w:val="18"/>
              </w:rPr>
              <w:t>月后</w:t>
            </w:r>
            <w:r>
              <w:rPr>
                <w:kern w:val="0"/>
                <w:sz w:val="18"/>
                <w:szCs w:val="18"/>
              </w:rPr>
              <w:t>15日前。</w:t>
            </w:r>
          </w:p>
          <w:p>
            <w:pPr>
              <w:widowControl/>
              <w:jc w:val="center"/>
              <w:rPr>
                <w:kern w:val="0"/>
                <w:sz w:val="18"/>
                <w:szCs w:val="18"/>
              </w:rPr>
            </w:pPr>
            <w:r>
              <w:rPr>
                <w:rFonts w:hint="eastAsia"/>
                <w:kern w:val="0"/>
                <w:sz w:val="18"/>
                <w:szCs w:val="18"/>
              </w:rPr>
              <w:t>网上直接报送。</w:t>
            </w:r>
          </w:p>
          <w:p>
            <w:pPr>
              <w:widowControl/>
              <w:jc w:val="left"/>
              <w:rPr>
                <w:kern w:val="0"/>
                <w:sz w:val="18"/>
                <w:szCs w:val="18"/>
              </w:rPr>
            </w:pPr>
          </w:p>
        </w:tc>
        <w:tc>
          <w:tcPr>
            <w:tcW w:w="543"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7</w:t>
            </w:r>
          </w:p>
          <w:p>
            <w:pPr>
              <w:widowControl/>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134" w:type="dxa"/>
            <w:vAlign w:val="center"/>
          </w:tcPr>
          <w:p>
            <w:pPr>
              <w:widowControl/>
              <w:jc w:val="center"/>
              <w:rPr>
                <w:kern w:val="0"/>
                <w:sz w:val="18"/>
                <w:szCs w:val="18"/>
              </w:rPr>
            </w:pPr>
            <w:r>
              <w:rPr>
                <w:kern w:val="0"/>
                <w:sz w:val="18"/>
                <w:szCs w:val="18"/>
              </w:rPr>
              <w:t>企业</w:t>
            </w:r>
            <w:r>
              <w:rPr>
                <w:rFonts w:hint="eastAsia"/>
                <w:kern w:val="0"/>
                <w:sz w:val="18"/>
                <w:szCs w:val="18"/>
              </w:rPr>
              <w:t>3</w:t>
            </w:r>
            <w:r>
              <w:rPr>
                <w:kern w:val="0"/>
                <w:sz w:val="18"/>
                <w:szCs w:val="18"/>
              </w:rPr>
              <w:t>表</w:t>
            </w:r>
          </w:p>
        </w:tc>
        <w:tc>
          <w:tcPr>
            <w:tcW w:w="1134" w:type="dxa"/>
            <w:vAlign w:val="center"/>
          </w:tcPr>
          <w:p>
            <w:pPr>
              <w:widowControl/>
              <w:jc w:val="center"/>
              <w:rPr>
                <w:kern w:val="0"/>
                <w:sz w:val="18"/>
                <w:szCs w:val="18"/>
              </w:rPr>
            </w:pPr>
            <w:r>
              <w:rPr>
                <w:kern w:val="0"/>
                <w:sz w:val="18"/>
                <w:szCs w:val="18"/>
              </w:rPr>
              <w:t>丝绸营销</w:t>
            </w:r>
            <w:r>
              <w:rPr>
                <w:rFonts w:hint="eastAsia"/>
                <w:kern w:val="0"/>
                <w:sz w:val="18"/>
                <w:szCs w:val="18"/>
              </w:rPr>
              <w:t>类</w:t>
            </w:r>
            <w:r>
              <w:rPr>
                <w:kern w:val="0"/>
                <w:sz w:val="18"/>
                <w:szCs w:val="18"/>
              </w:rPr>
              <w:t>企业主要经济指标半年（年）报表</w:t>
            </w:r>
          </w:p>
        </w:tc>
        <w:tc>
          <w:tcPr>
            <w:tcW w:w="851" w:type="dxa"/>
            <w:vAlign w:val="center"/>
          </w:tcPr>
          <w:p>
            <w:pPr>
              <w:widowControl/>
              <w:jc w:val="center"/>
              <w:rPr>
                <w:kern w:val="0"/>
                <w:sz w:val="18"/>
                <w:szCs w:val="18"/>
              </w:rPr>
            </w:pPr>
            <w:r>
              <w:rPr>
                <w:kern w:val="0"/>
                <w:sz w:val="18"/>
                <w:szCs w:val="18"/>
              </w:rPr>
              <w:t>半年</w:t>
            </w:r>
          </w:p>
          <w:p>
            <w:pPr>
              <w:widowControl/>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kern w:val="0"/>
                <w:sz w:val="18"/>
                <w:szCs w:val="18"/>
              </w:rPr>
              <w:t>丝绸生产厂家直销店、丝绸商品专卖店、老字号丝绸专营店、其他各类模式营销店（网）等</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left"/>
              <w:rPr>
                <w:kern w:val="0"/>
                <w:sz w:val="18"/>
                <w:szCs w:val="18"/>
              </w:rPr>
            </w:pPr>
            <w:r>
              <w:rPr>
                <w:rFonts w:hint="eastAsia"/>
                <w:kern w:val="0"/>
                <w:sz w:val="18"/>
                <w:szCs w:val="18"/>
              </w:rPr>
              <w:t>丝绸营销类重点企业</w:t>
            </w:r>
          </w:p>
        </w:tc>
        <w:tc>
          <w:tcPr>
            <w:tcW w:w="2079" w:type="dxa"/>
            <w:vAlign w:val="center"/>
          </w:tcPr>
          <w:p>
            <w:pPr>
              <w:widowControl/>
              <w:jc w:val="left"/>
              <w:rPr>
                <w:kern w:val="0"/>
                <w:sz w:val="18"/>
                <w:szCs w:val="18"/>
              </w:rPr>
            </w:pPr>
            <w:r>
              <w:rPr>
                <w:rFonts w:hint="eastAsia"/>
                <w:kern w:val="0"/>
                <w:sz w:val="18"/>
                <w:szCs w:val="18"/>
              </w:rPr>
              <w:t>当年</w:t>
            </w:r>
            <w:r>
              <w:rPr>
                <w:kern w:val="0"/>
                <w:sz w:val="18"/>
                <w:szCs w:val="18"/>
              </w:rPr>
              <w:t>7月1日-8月1日报送上半年报表，</w:t>
            </w:r>
            <w:r>
              <w:rPr>
                <w:rFonts w:hint="eastAsia"/>
                <w:kern w:val="0"/>
                <w:sz w:val="18"/>
                <w:szCs w:val="18"/>
              </w:rPr>
              <w:t>年后</w:t>
            </w:r>
            <w:r>
              <w:rPr>
                <w:kern w:val="0"/>
                <w:sz w:val="18"/>
                <w:szCs w:val="18"/>
              </w:rPr>
              <w:t>1月1日-2月15日报送上年全年情况。</w:t>
            </w:r>
            <w:r>
              <w:rPr>
                <w:rFonts w:hint="eastAsia"/>
                <w:kern w:val="0"/>
                <w:sz w:val="18"/>
                <w:szCs w:val="18"/>
              </w:rPr>
              <w:t>网上直接报送。</w:t>
            </w:r>
          </w:p>
        </w:tc>
        <w:tc>
          <w:tcPr>
            <w:tcW w:w="543" w:type="dxa"/>
          </w:tcPr>
          <w:p>
            <w:pPr>
              <w:widowControl/>
              <w:jc w:val="center"/>
              <w:rPr>
                <w:kern w:val="0"/>
                <w:sz w:val="18"/>
                <w:szCs w:val="18"/>
              </w:rPr>
            </w:pPr>
          </w:p>
          <w:p>
            <w:pPr>
              <w:widowControl/>
              <w:jc w:val="center"/>
              <w:rPr>
                <w:kern w:val="0"/>
                <w:sz w:val="18"/>
                <w:szCs w:val="18"/>
              </w:rPr>
            </w:pPr>
          </w:p>
          <w:p>
            <w:pPr>
              <w:widowControl/>
              <w:rPr>
                <w:kern w:val="0"/>
                <w:sz w:val="18"/>
                <w:szCs w:val="18"/>
              </w:rPr>
            </w:pPr>
            <w:r>
              <w:rPr>
                <w:rFonts w:hint="eastAsia"/>
                <w:kern w:val="0"/>
                <w:sz w:val="18"/>
                <w:szCs w:val="18"/>
              </w:rPr>
              <w:t xml:space="preserve"> 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1134" w:type="dxa"/>
            <w:vAlign w:val="center"/>
          </w:tcPr>
          <w:p>
            <w:pPr>
              <w:widowControl/>
              <w:jc w:val="center"/>
              <w:rPr>
                <w:kern w:val="0"/>
                <w:sz w:val="18"/>
                <w:szCs w:val="18"/>
              </w:rPr>
            </w:pPr>
            <w:r>
              <w:rPr>
                <w:kern w:val="0"/>
                <w:sz w:val="18"/>
                <w:szCs w:val="18"/>
              </w:rPr>
              <w:t>产品1表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监测旬报表</w:t>
            </w:r>
          </w:p>
        </w:tc>
        <w:tc>
          <w:tcPr>
            <w:tcW w:w="851" w:type="dxa"/>
            <w:vAlign w:val="center"/>
          </w:tcPr>
          <w:p>
            <w:pPr>
              <w:widowControl/>
              <w:ind w:firstLine="90" w:firstLineChars="50"/>
              <w:jc w:val="center"/>
              <w:rPr>
                <w:kern w:val="0"/>
                <w:sz w:val="18"/>
                <w:szCs w:val="18"/>
              </w:rPr>
            </w:pPr>
            <w:r>
              <w:rPr>
                <w:kern w:val="0"/>
                <w:sz w:val="18"/>
                <w:szCs w:val="18"/>
              </w:rPr>
              <w:t>旬报</w:t>
            </w:r>
          </w:p>
        </w:tc>
        <w:tc>
          <w:tcPr>
            <w:tcW w:w="1417" w:type="dxa"/>
            <w:vAlign w:val="center"/>
          </w:tcPr>
          <w:p>
            <w:pPr>
              <w:widowControl/>
              <w:jc w:val="center"/>
              <w:rPr>
                <w:kern w:val="0"/>
                <w:sz w:val="18"/>
                <w:szCs w:val="18"/>
              </w:rPr>
            </w:pPr>
            <w:r>
              <w:rPr>
                <w:kern w:val="0"/>
                <w:sz w:val="18"/>
                <w:szCs w:val="18"/>
              </w:rPr>
              <w:t>蚕茧收烘企业，缫丝企业，茧丝绸综合类生产企业</w:t>
            </w:r>
          </w:p>
        </w:tc>
        <w:tc>
          <w:tcPr>
            <w:tcW w:w="1688" w:type="dxa"/>
            <w:vAlign w:val="center"/>
          </w:tcPr>
          <w:p>
            <w:pPr>
              <w:widowControl/>
              <w:jc w:val="center"/>
              <w:rPr>
                <w:kern w:val="0"/>
                <w:sz w:val="18"/>
                <w:szCs w:val="18"/>
              </w:rPr>
            </w:pPr>
            <w:r>
              <w:rPr>
                <w:rFonts w:hint="eastAsia"/>
                <w:kern w:val="0"/>
                <w:sz w:val="18"/>
                <w:szCs w:val="18"/>
              </w:rPr>
              <w:t>“全国茧丝绸产业信息服务平台”注册的</w:t>
            </w:r>
            <w:r>
              <w:rPr>
                <w:kern w:val="0"/>
                <w:sz w:val="18"/>
                <w:szCs w:val="18"/>
              </w:rPr>
              <w:t>蚕茧收烘</w:t>
            </w:r>
            <w:r>
              <w:rPr>
                <w:rFonts w:hint="eastAsia"/>
                <w:kern w:val="0"/>
                <w:sz w:val="18"/>
                <w:szCs w:val="18"/>
              </w:rPr>
              <w:t>重点</w:t>
            </w:r>
            <w:r>
              <w:rPr>
                <w:kern w:val="0"/>
                <w:sz w:val="18"/>
                <w:szCs w:val="18"/>
              </w:rPr>
              <w:t>企业、缫丝</w:t>
            </w:r>
            <w:r>
              <w:rPr>
                <w:rFonts w:hint="eastAsia"/>
                <w:kern w:val="0"/>
                <w:sz w:val="18"/>
                <w:szCs w:val="18"/>
              </w:rPr>
              <w:t>重点</w:t>
            </w:r>
            <w:r>
              <w:rPr>
                <w:kern w:val="0"/>
                <w:sz w:val="18"/>
                <w:szCs w:val="18"/>
              </w:rPr>
              <w:t>企业、茧丝绸综合类生产</w:t>
            </w:r>
            <w:r>
              <w:rPr>
                <w:rFonts w:hint="eastAsia"/>
                <w:kern w:val="0"/>
                <w:sz w:val="18"/>
                <w:szCs w:val="18"/>
              </w:rPr>
              <w:t>重点</w:t>
            </w:r>
            <w:r>
              <w:rPr>
                <w:kern w:val="0"/>
                <w:sz w:val="18"/>
                <w:szCs w:val="18"/>
              </w:rPr>
              <w:t>企业</w:t>
            </w:r>
          </w:p>
        </w:tc>
        <w:tc>
          <w:tcPr>
            <w:tcW w:w="2079" w:type="dxa"/>
            <w:vAlign w:val="center"/>
          </w:tcPr>
          <w:p>
            <w:pPr>
              <w:widowControl/>
              <w:jc w:val="left"/>
              <w:rPr>
                <w:kern w:val="0"/>
                <w:sz w:val="18"/>
                <w:szCs w:val="18"/>
              </w:rPr>
            </w:pPr>
            <w:r>
              <w:rPr>
                <w:rFonts w:hint="eastAsia"/>
                <w:kern w:val="0"/>
                <w:sz w:val="18"/>
                <w:szCs w:val="18"/>
              </w:rPr>
              <w:t>每月1、11、21日报送上一旬数据</w:t>
            </w:r>
            <w:r>
              <w:rPr>
                <w:kern w:val="0"/>
                <w:sz w:val="18"/>
                <w:szCs w:val="18"/>
              </w:rPr>
              <w:t>。</w:t>
            </w:r>
            <w:r>
              <w:rPr>
                <w:rFonts w:hint="eastAsia"/>
                <w:kern w:val="0"/>
                <w:sz w:val="18"/>
                <w:szCs w:val="18"/>
              </w:rPr>
              <w:t>网上直接报送。</w:t>
            </w:r>
          </w:p>
          <w:p>
            <w:pPr>
              <w:widowControl/>
              <w:rPr>
                <w:kern w:val="0"/>
                <w:sz w:val="18"/>
                <w:szCs w:val="18"/>
              </w:rPr>
            </w:pPr>
          </w:p>
        </w:tc>
        <w:tc>
          <w:tcPr>
            <w:tcW w:w="543"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kern w:val="0"/>
                <w:sz w:val="18"/>
                <w:szCs w:val="18"/>
              </w:rPr>
              <w:t>产品2表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丝绸产品生产企业，茧丝绸综合类生产企业</w:t>
            </w:r>
          </w:p>
        </w:tc>
        <w:tc>
          <w:tcPr>
            <w:tcW w:w="1688" w:type="dxa"/>
            <w:vAlign w:val="center"/>
          </w:tcPr>
          <w:p>
            <w:pPr>
              <w:widowControl/>
              <w:jc w:val="center"/>
              <w:rPr>
                <w:kern w:val="0"/>
                <w:sz w:val="18"/>
                <w:szCs w:val="18"/>
              </w:rPr>
            </w:pPr>
            <w:r>
              <w:rPr>
                <w:rFonts w:hint="eastAsia"/>
                <w:kern w:val="0"/>
                <w:sz w:val="18"/>
                <w:szCs w:val="18"/>
              </w:rPr>
              <w:t>“全国茧丝绸产业信息服务平台”注册的</w:t>
            </w:r>
            <w:r>
              <w:rPr>
                <w:kern w:val="0"/>
                <w:sz w:val="18"/>
                <w:szCs w:val="18"/>
              </w:rPr>
              <w:t>丝绸产品生产</w:t>
            </w:r>
            <w:r>
              <w:rPr>
                <w:rFonts w:hint="eastAsia"/>
                <w:kern w:val="0"/>
                <w:sz w:val="18"/>
                <w:szCs w:val="18"/>
              </w:rPr>
              <w:t>重点</w:t>
            </w:r>
            <w:r>
              <w:rPr>
                <w:kern w:val="0"/>
                <w:sz w:val="18"/>
                <w:szCs w:val="18"/>
              </w:rPr>
              <w:t>企业、</w:t>
            </w:r>
          </w:p>
          <w:p>
            <w:pPr>
              <w:widowControl/>
              <w:jc w:val="center"/>
              <w:rPr>
                <w:kern w:val="0"/>
                <w:sz w:val="18"/>
                <w:szCs w:val="18"/>
              </w:rPr>
            </w:pPr>
            <w:r>
              <w:rPr>
                <w:kern w:val="0"/>
                <w:sz w:val="18"/>
                <w:szCs w:val="18"/>
              </w:rPr>
              <w:t>茧丝绸综合类生产</w:t>
            </w:r>
            <w:r>
              <w:rPr>
                <w:rFonts w:hint="eastAsia"/>
                <w:kern w:val="0"/>
                <w:sz w:val="18"/>
                <w:szCs w:val="18"/>
              </w:rPr>
              <w:t>重点</w:t>
            </w:r>
            <w:r>
              <w:rPr>
                <w:kern w:val="0"/>
                <w:sz w:val="18"/>
                <w:szCs w:val="18"/>
              </w:rPr>
              <w:t>企业</w:t>
            </w:r>
          </w:p>
        </w:tc>
        <w:tc>
          <w:tcPr>
            <w:tcW w:w="2079" w:type="dxa"/>
            <w:vAlign w:val="center"/>
          </w:tcPr>
          <w:p>
            <w:pPr>
              <w:widowControl/>
              <w:jc w:val="center"/>
              <w:rPr>
                <w:kern w:val="0"/>
                <w:sz w:val="18"/>
                <w:szCs w:val="18"/>
              </w:rPr>
            </w:pPr>
            <w:r>
              <w:rPr>
                <w:kern w:val="0"/>
                <w:sz w:val="18"/>
                <w:szCs w:val="18"/>
              </w:rPr>
              <w:t>月</w:t>
            </w:r>
            <w:r>
              <w:rPr>
                <w:rFonts w:hint="eastAsia"/>
                <w:kern w:val="0"/>
                <w:sz w:val="18"/>
                <w:szCs w:val="18"/>
              </w:rPr>
              <w:t>后</w:t>
            </w:r>
            <w:r>
              <w:rPr>
                <w:kern w:val="0"/>
                <w:sz w:val="18"/>
                <w:szCs w:val="18"/>
              </w:rPr>
              <w:t>15日前。</w:t>
            </w:r>
          </w:p>
          <w:p>
            <w:pPr>
              <w:widowControl/>
              <w:jc w:val="center"/>
              <w:rPr>
                <w:kern w:val="0"/>
                <w:sz w:val="18"/>
                <w:szCs w:val="18"/>
              </w:rPr>
            </w:pPr>
            <w:r>
              <w:rPr>
                <w:rFonts w:hint="eastAsia"/>
                <w:kern w:val="0"/>
                <w:sz w:val="18"/>
                <w:szCs w:val="18"/>
              </w:rPr>
              <w:t>网上直接报送。</w:t>
            </w:r>
          </w:p>
          <w:p>
            <w:pPr>
              <w:widowControl/>
              <w:jc w:val="left"/>
              <w:rPr>
                <w:kern w:val="0"/>
                <w:sz w:val="18"/>
                <w:szCs w:val="18"/>
              </w:rPr>
            </w:pPr>
          </w:p>
        </w:tc>
        <w:tc>
          <w:tcPr>
            <w:tcW w:w="543" w:type="dxa"/>
          </w:tcPr>
          <w:p>
            <w:pPr>
              <w:widowControl/>
              <w:jc w:val="center"/>
              <w:rPr>
                <w:kern w:val="0"/>
                <w:sz w:val="18"/>
                <w:szCs w:val="18"/>
              </w:rPr>
            </w:pPr>
          </w:p>
          <w:p>
            <w:pPr>
              <w:widowControl/>
              <w:jc w:val="center"/>
              <w:rPr>
                <w:kern w:val="0"/>
                <w:sz w:val="18"/>
                <w:szCs w:val="18"/>
              </w:rPr>
            </w:pPr>
            <w:r>
              <w:rPr>
                <w:rFonts w:hint="eastAsia"/>
                <w:kern w:val="0"/>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kern w:val="0"/>
                <w:sz w:val="18"/>
                <w:szCs w:val="18"/>
              </w:rPr>
              <w:t>产品3表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监测日报表</w:t>
            </w:r>
          </w:p>
        </w:tc>
        <w:tc>
          <w:tcPr>
            <w:tcW w:w="851" w:type="dxa"/>
            <w:vAlign w:val="center"/>
          </w:tcPr>
          <w:p>
            <w:pPr>
              <w:widowControl/>
              <w:ind w:firstLine="90" w:firstLineChars="50"/>
              <w:jc w:val="center"/>
              <w:rPr>
                <w:kern w:val="0"/>
                <w:sz w:val="18"/>
                <w:szCs w:val="18"/>
              </w:rPr>
            </w:pPr>
            <w:r>
              <w:rPr>
                <w:kern w:val="0"/>
                <w:sz w:val="18"/>
                <w:szCs w:val="18"/>
              </w:rPr>
              <w:t>日报</w:t>
            </w:r>
          </w:p>
        </w:tc>
        <w:tc>
          <w:tcPr>
            <w:tcW w:w="1417" w:type="dxa"/>
            <w:vAlign w:val="center"/>
          </w:tcPr>
          <w:p>
            <w:pPr>
              <w:widowControl/>
              <w:jc w:val="center"/>
              <w:rPr>
                <w:kern w:val="0"/>
                <w:sz w:val="18"/>
                <w:szCs w:val="18"/>
              </w:rPr>
            </w:pPr>
            <w:r>
              <w:rPr>
                <w:kern w:val="0"/>
                <w:sz w:val="18"/>
                <w:szCs w:val="18"/>
              </w:rPr>
              <w:t>蚕茧收烘企业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jc w:val="center"/>
              <w:rPr>
                <w:kern w:val="0"/>
                <w:sz w:val="18"/>
                <w:szCs w:val="18"/>
              </w:rPr>
            </w:pPr>
            <w:r>
              <w:rPr>
                <w:kern w:val="0"/>
                <w:sz w:val="18"/>
                <w:szCs w:val="18"/>
              </w:rPr>
              <w:t>蚕茧收烘</w:t>
            </w:r>
            <w:r>
              <w:rPr>
                <w:rFonts w:hint="eastAsia"/>
                <w:kern w:val="0"/>
                <w:sz w:val="18"/>
                <w:szCs w:val="18"/>
              </w:rPr>
              <w:t>重点</w:t>
            </w:r>
            <w:r>
              <w:rPr>
                <w:kern w:val="0"/>
                <w:sz w:val="18"/>
                <w:szCs w:val="18"/>
              </w:rPr>
              <w:t>企业</w:t>
            </w:r>
          </w:p>
        </w:tc>
        <w:tc>
          <w:tcPr>
            <w:tcW w:w="2079" w:type="dxa"/>
            <w:vAlign w:val="center"/>
          </w:tcPr>
          <w:p>
            <w:pPr>
              <w:widowControl/>
              <w:jc w:val="left"/>
              <w:rPr>
                <w:kern w:val="0"/>
                <w:sz w:val="18"/>
                <w:szCs w:val="18"/>
              </w:rPr>
            </w:pPr>
            <w:r>
              <w:rPr>
                <w:kern w:val="0"/>
                <w:sz w:val="18"/>
                <w:szCs w:val="18"/>
              </w:rPr>
              <w:t>春茧收购数据报送：广西地区每年5月1日-6月30日；其它地区每年6月1日-6月30日。秋茧收购数据报送：广西地区每年9月1日-10月31日；其它地区每年10月1日-10月31日。</w:t>
            </w:r>
          </w:p>
          <w:p>
            <w:pPr>
              <w:widowControl/>
              <w:jc w:val="left"/>
              <w:rPr>
                <w:kern w:val="0"/>
                <w:sz w:val="18"/>
                <w:szCs w:val="18"/>
              </w:rPr>
            </w:pPr>
            <w:r>
              <w:rPr>
                <w:rFonts w:hint="eastAsia"/>
                <w:kern w:val="0"/>
                <w:sz w:val="18"/>
                <w:szCs w:val="18"/>
              </w:rPr>
              <w:t>网上直接报送。</w:t>
            </w:r>
          </w:p>
        </w:tc>
        <w:tc>
          <w:tcPr>
            <w:tcW w:w="543"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rFonts w:hint="eastAsia"/>
                <w:kern w:val="0"/>
                <w:sz w:val="18"/>
                <w:szCs w:val="18"/>
              </w:rPr>
              <w:t>产品4</w:t>
            </w:r>
            <w:r>
              <w:rPr>
                <w:kern w:val="0"/>
                <w:sz w:val="18"/>
                <w:szCs w:val="18"/>
              </w:rPr>
              <w:t>表</w:t>
            </w:r>
          </w:p>
        </w:tc>
        <w:tc>
          <w:tcPr>
            <w:tcW w:w="1134" w:type="dxa"/>
            <w:vAlign w:val="center"/>
          </w:tcPr>
          <w:p>
            <w:pPr>
              <w:widowControl/>
              <w:jc w:val="center"/>
              <w:rPr>
                <w:kern w:val="0"/>
                <w:sz w:val="18"/>
                <w:szCs w:val="18"/>
              </w:rPr>
            </w:pPr>
            <w:r>
              <w:rPr>
                <w:kern w:val="0"/>
                <w:sz w:val="18"/>
                <w:szCs w:val="18"/>
              </w:rPr>
              <w:t>全国丝绸营销企业产品销售月报表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丝绸生产厂家直销店、丝绸商品专卖店、老字号丝绸专营店、其他各类模式营销店（网）等。</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left"/>
              <w:rPr>
                <w:kern w:val="0"/>
                <w:sz w:val="18"/>
                <w:szCs w:val="18"/>
              </w:rPr>
            </w:pPr>
            <w:r>
              <w:rPr>
                <w:rFonts w:hint="eastAsia"/>
                <w:kern w:val="0"/>
                <w:sz w:val="18"/>
                <w:szCs w:val="18"/>
              </w:rPr>
              <w:t>丝绸营销类重点企业</w:t>
            </w:r>
          </w:p>
        </w:tc>
        <w:tc>
          <w:tcPr>
            <w:tcW w:w="2079" w:type="dxa"/>
            <w:vAlign w:val="center"/>
          </w:tcPr>
          <w:p>
            <w:pPr>
              <w:adjustRightInd w:val="0"/>
              <w:snapToGrid w:val="0"/>
              <w:jc w:val="center"/>
              <w:rPr>
                <w:sz w:val="18"/>
                <w:szCs w:val="18"/>
              </w:rPr>
            </w:pPr>
            <w:r>
              <w:rPr>
                <w:sz w:val="18"/>
                <w:szCs w:val="18"/>
              </w:rPr>
              <w:t>月</w:t>
            </w:r>
            <w:r>
              <w:rPr>
                <w:rFonts w:hint="eastAsia"/>
                <w:sz w:val="18"/>
                <w:szCs w:val="18"/>
              </w:rPr>
              <w:t>后</w:t>
            </w:r>
            <w:r>
              <w:rPr>
                <w:sz w:val="18"/>
                <w:szCs w:val="18"/>
              </w:rPr>
              <w:t>15日前。</w:t>
            </w:r>
          </w:p>
          <w:p>
            <w:pPr>
              <w:adjustRightInd w:val="0"/>
              <w:snapToGrid w:val="0"/>
              <w:jc w:val="center"/>
              <w:rPr>
                <w:sz w:val="18"/>
                <w:szCs w:val="18"/>
              </w:rPr>
            </w:pPr>
            <w:r>
              <w:rPr>
                <w:rFonts w:hint="eastAsia"/>
                <w:sz w:val="18"/>
                <w:szCs w:val="18"/>
              </w:rPr>
              <w:t>网上直接报送。</w:t>
            </w:r>
          </w:p>
          <w:p>
            <w:pPr>
              <w:widowControl/>
              <w:jc w:val="left"/>
              <w:rPr>
                <w:kern w:val="0"/>
                <w:sz w:val="18"/>
                <w:szCs w:val="18"/>
              </w:rPr>
            </w:pPr>
          </w:p>
        </w:tc>
        <w:tc>
          <w:tcPr>
            <w:tcW w:w="543" w:type="dxa"/>
          </w:tcPr>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r>
              <w:rPr>
                <w:rFonts w:hint="eastAsia"/>
                <w:sz w:val="18"/>
                <w:szCs w:val="18"/>
              </w:rPr>
              <w:t>12</w:t>
            </w:r>
          </w:p>
        </w:tc>
      </w:tr>
    </w:tbl>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pStyle w:val="2"/>
        <w:spacing w:before="0" w:after="0"/>
        <w:jc w:val="center"/>
        <w:rPr>
          <w:rFonts w:asciiTheme="majorEastAsia" w:hAnsiTheme="majorEastAsia" w:eastAsiaTheme="majorEastAsia"/>
          <w:sz w:val="32"/>
          <w:szCs w:val="32"/>
        </w:rPr>
      </w:pPr>
      <w:bookmarkStart w:id="5" w:name="_Toc438208245"/>
      <w:bookmarkStart w:id="6" w:name="_Toc443922430"/>
      <w:r>
        <w:rPr>
          <w:rFonts w:asciiTheme="majorEastAsia" w:hAnsiTheme="majorEastAsia" w:eastAsiaTheme="majorEastAsia"/>
          <w:sz w:val="32"/>
          <w:szCs w:val="32"/>
        </w:rPr>
        <w:t>三、调查表式</w:t>
      </w:r>
      <w:bookmarkEnd w:id="5"/>
      <w:bookmarkEnd w:id="6"/>
    </w:p>
    <w:p>
      <w:pPr>
        <w:spacing w:line="60" w:lineRule="atLeast"/>
      </w:pPr>
    </w:p>
    <w:p>
      <w:pPr>
        <w:spacing w:line="60" w:lineRule="atLeast"/>
        <w:jc w:val="center"/>
        <w:rPr>
          <w:sz w:val="32"/>
          <w:szCs w:val="32"/>
        </w:rPr>
      </w:pPr>
      <w:r>
        <w:rPr>
          <w:sz w:val="32"/>
          <w:szCs w:val="32"/>
        </w:rPr>
        <mc:AlternateContent>
          <mc:Choice Requires="wps">
            <w:drawing>
              <wp:anchor distT="0" distB="0" distL="114300" distR="114300" simplePos="0" relativeHeight="251674624" behindDoc="0" locked="0" layoutInCell="1" allowOverlap="1">
                <wp:simplePos x="0" y="0"/>
                <wp:positionH relativeFrom="column">
                  <wp:posOffset>161925</wp:posOffset>
                </wp:positionH>
                <wp:positionV relativeFrom="paragraph">
                  <wp:posOffset>344170</wp:posOffset>
                </wp:positionV>
                <wp:extent cx="3429000" cy="1123950"/>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29000" cy="1123950"/>
                        </a:xfrm>
                        <a:prstGeom prst="rect">
                          <a:avLst/>
                        </a:prstGeom>
                        <a:noFill/>
                        <a:ln w="9525">
                          <a:noFill/>
                          <a:miter lim="800000"/>
                        </a:ln>
                        <a:effectLst/>
                      </wps:spPr>
                      <wps:txb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2.75pt;margin-top:27.1pt;height:88.5pt;width:270pt;z-index:251674624;mso-width-relative:page;mso-height-relative:page;" filled="f" stroked="f" coordsize="21600,21600" o:gfxdata="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IJlHVAAAACQEAAA8AAAAAAAAAAQAgAAAAIgAAAGRycy9k&#10;b3ducmV2LnhtbFBLAQIUABQAAAAIAIdO4kC+tjqQBQIAAPUDAAAOAAAAAAAAAAEAIAAAACQBAABk&#10;cnMvZTJvRG9jLnhtbFBLBQYAAAAABgAGAFkBAACbBQAAAAA=&#10;">
                <v:fill on="f" focussize="0,0"/>
                <v:stroke on="f" miterlimit="8" joinstyle="miter"/>
                <v:imagedata o:title=""/>
                <o:lock v:ext="edit" aspectratio="f"/>
                <v:textbo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v:textbox>
              </v:shape>
            </w:pict>
          </mc:Fallback>
        </mc:AlternateContent>
      </w:r>
      <w:r>
        <w:rPr>
          <w:sz w:val="32"/>
          <w:szCs w:val="32"/>
        </w:rPr>
        <w:t>蚕茧生产收购情况表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蚕茧1表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ind w:firstLine="3150" w:firstLineChars="1750"/>
        <w:rPr>
          <w:sz w:val="18"/>
          <w:szCs w:val="18"/>
        </w:rPr>
      </w:pP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ind w:left="720" w:leftChars="343" w:firstLine="4950" w:firstLineChars="2750"/>
        <w:rPr>
          <w:sz w:val="18"/>
          <w:szCs w:val="18"/>
        </w:rPr>
      </w:pP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ind w:left="720" w:leftChars="343" w:firstLine="4950" w:firstLineChars="2750"/>
        <w:rPr>
          <w:sz w:val="18"/>
          <w:szCs w:val="18"/>
        </w:rPr>
      </w:pP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jc w:val="center"/>
        <w:rPr>
          <w:sz w:val="18"/>
          <w:szCs w:val="18"/>
        </w:rPr>
      </w:pPr>
    </w:p>
    <w:p>
      <w:pPr>
        <w:adjustRightInd w:val="0"/>
        <w:snapToGrid w:val="0"/>
        <w:spacing w:line="60" w:lineRule="atLeast"/>
        <w:jc w:val="center"/>
        <w:rPr>
          <w:b/>
          <w:bCs/>
          <w:sz w:val="18"/>
          <w:szCs w:val="18"/>
        </w:rPr>
      </w:pPr>
      <w:r>
        <w:rPr>
          <w:sz w:val="18"/>
          <w:szCs w:val="18"/>
        </w:rPr>
        <w:t>20    年</w:t>
      </w:r>
    </w:p>
    <w:tbl>
      <w:tblPr>
        <w:tblStyle w:val="19"/>
        <w:tblW w:w="8522" w:type="dxa"/>
        <w:tblInd w:w="0" w:type="dxa"/>
        <w:tblLayout w:type="fixed"/>
        <w:tblCellMar>
          <w:top w:w="0" w:type="dxa"/>
          <w:left w:w="108" w:type="dxa"/>
          <w:bottom w:w="0" w:type="dxa"/>
          <w:right w:w="108" w:type="dxa"/>
        </w:tblCellMar>
      </w:tblPr>
      <w:tblGrid>
        <w:gridCol w:w="710"/>
        <w:gridCol w:w="710"/>
        <w:gridCol w:w="710"/>
        <w:gridCol w:w="711"/>
        <w:gridCol w:w="711"/>
        <w:gridCol w:w="711"/>
        <w:gridCol w:w="711"/>
        <w:gridCol w:w="711"/>
        <w:gridCol w:w="711"/>
        <w:gridCol w:w="711"/>
        <w:gridCol w:w="711"/>
        <w:gridCol w:w="704"/>
      </w:tblGrid>
      <w:tr>
        <w:tblPrEx>
          <w:tblLayout w:type="fixed"/>
          <w:tblCellMar>
            <w:top w:w="0" w:type="dxa"/>
            <w:left w:w="108" w:type="dxa"/>
            <w:bottom w:w="0" w:type="dxa"/>
            <w:right w:w="108" w:type="dxa"/>
          </w:tblCellMar>
        </w:tblPrEx>
        <w:trPr>
          <w:trHeight w:val="312" w:hRule="atLeast"/>
        </w:trPr>
        <w:tc>
          <w:tcPr>
            <w:tcW w:w="71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地区</w:t>
            </w:r>
          </w:p>
        </w:tc>
        <w:tc>
          <w:tcPr>
            <w:tcW w:w="710"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142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桑园面积（亩）</w:t>
            </w:r>
          </w:p>
        </w:tc>
        <w:tc>
          <w:tcPr>
            <w:tcW w:w="1422"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发种量（张）</w:t>
            </w:r>
          </w:p>
        </w:tc>
        <w:tc>
          <w:tcPr>
            <w:tcW w:w="1422"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生产量（吨）</w:t>
            </w:r>
          </w:p>
        </w:tc>
        <w:tc>
          <w:tcPr>
            <w:tcW w:w="1422" w:type="dxa"/>
            <w:gridSpan w:val="2"/>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收购量（吨）</w:t>
            </w:r>
          </w:p>
        </w:tc>
        <w:tc>
          <w:tcPr>
            <w:tcW w:w="1415" w:type="dxa"/>
            <w:gridSpan w:val="2"/>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综合均价</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（元/50公斤）</w:t>
            </w:r>
          </w:p>
        </w:tc>
      </w:tr>
      <w:tr>
        <w:tblPrEx>
          <w:tblLayout w:type="fixed"/>
          <w:tblCellMar>
            <w:top w:w="0" w:type="dxa"/>
            <w:left w:w="108" w:type="dxa"/>
            <w:bottom w:w="0" w:type="dxa"/>
            <w:right w:w="108" w:type="dxa"/>
          </w:tblCellMar>
        </w:tblPrEx>
        <w:trPr>
          <w:trHeight w:val="312" w:hRule="atLeast"/>
        </w:trPr>
        <w:tc>
          <w:tcPr>
            <w:tcW w:w="710"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10" w:type="dxa"/>
            <w:vMerge w:val="continue"/>
            <w:tcBorders>
              <w:top w:val="single" w:color="000000" w:sz="8" w:space="0"/>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421"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宋体" w:hAnsi="宋体" w:cs="宋体"/>
                <w:color w:val="000000"/>
                <w:kern w:val="0"/>
                <w:sz w:val="18"/>
                <w:szCs w:val="18"/>
              </w:rPr>
            </w:pPr>
          </w:p>
        </w:tc>
        <w:tc>
          <w:tcPr>
            <w:tcW w:w="1415" w:type="dxa"/>
            <w:gridSpan w:val="2"/>
            <w:vMerge w:val="continue"/>
            <w:tcBorders>
              <w:top w:val="single" w:color="auto" w:sz="4" w:space="0"/>
              <w:left w:val="single" w:color="auto" w:sz="4" w:space="0"/>
              <w:bottom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710"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10" w:type="dxa"/>
            <w:vMerge w:val="continue"/>
            <w:tcBorders>
              <w:top w:val="single" w:color="000000" w:sz="8" w:space="0"/>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04" w:type="dxa"/>
            <w:tcBorders>
              <w:top w:val="single" w:color="auto" w:sz="4" w:space="0"/>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r>
      <w:tr>
        <w:tblPrEx>
          <w:tblLayout w:type="fixed"/>
          <w:tblCellMar>
            <w:top w:w="0" w:type="dxa"/>
            <w:left w:w="108" w:type="dxa"/>
            <w:bottom w:w="0" w:type="dxa"/>
            <w:right w:w="108" w:type="dxa"/>
          </w:tblCellMar>
        </w:tblPrEx>
        <w:trPr>
          <w:trHeight w:val="285"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1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11"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704"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bl>
    <w:p>
      <w:pPr>
        <w:jc w:val="left"/>
        <w:rPr>
          <w:sz w:val="18"/>
          <w:szCs w:val="18"/>
        </w:rPr>
      </w:pPr>
      <w:r>
        <w:rPr>
          <w:rFonts w:hint="eastAsia" w:ascii="宋体" w:hAnsi="宋体"/>
          <w:sz w:val="18"/>
          <w:szCs w:val="18"/>
        </w:rPr>
        <w:t>单位负责人：         统计负责人：        填表人：      联系电话：      报出日期：20  年  月  日</w:t>
      </w:r>
    </w:p>
    <w:p>
      <w:pPr>
        <w:rPr>
          <w:sz w:val="32"/>
          <w:szCs w:val="32"/>
        </w:rPr>
      </w:pPr>
      <w:r>
        <w:rPr>
          <w:sz w:val="18"/>
          <w:szCs w:val="18"/>
        </w:rPr>
        <w:t>注：</w:t>
      </w:r>
      <w:r>
        <w:rPr>
          <w:rFonts w:hint="eastAsia"/>
          <w:sz w:val="18"/>
          <w:szCs w:val="18"/>
        </w:rPr>
        <w:t>“数值”</w:t>
      </w:r>
      <w:r>
        <w:rPr>
          <w:sz w:val="18"/>
          <w:szCs w:val="18"/>
        </w:rPr>
        <w:t>按报送期填写相应的数据。</w:t>
      </w:r>
    </w:p>
    <w:p>
      <w:pPr>
        <w:spacing w:line="60" w:lineRule="atLeast"/>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pPr>
    </w:p>
    <w:p>
      <w:pPr>
        <w:spacing w:line="60" w:lineRule="atLeast"/>
      </w:pPr>
    </w:p>
    <w:p>
      <w:pPr>
        <w:spacing w:line="60" w:lineRule="atLeast"/>
        <w:jc w:val="center"/>
        <w:rPr>
          <w:sz w:val="32"/>
          <w:szCs w:val="32"/>
        </w:rPr>
      </w:pPr>
    </w:p>
    <w:p>
      <w:pPr>
        <w:spacing w:line="60" w:lineRule="atLeast"/>
        <w:jc w:val="center"/>
        <w:rPr>
          <w:sz w:val="32"/>
          <w:szCs w:val="32"/>
        </w:rPr>
      </w:pPr>
      <w:r>
        <w:rPr>
          <w:sz w:val="32"/>
          <w:szCs w:val="32"/>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333375</wp:posOffset>
                </wp:positionV>
                <wp:extent cx="3429000" cy="112395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29000" cy="1123950"/>
                        </a:xfrm>
                        <a:prstGeom prst="rect">
                          <a:avLst/>
                        </a:prstGeom>
                        <a:noFill/>
                        <a:ln w="9525">
                          <a:noFill/>
                          <a:miter lim="800000"/>
                        </a:ln>
                        <a:effectLst/>
                      </wps:spPr>
                      <wps:txb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75pt;margin-top:26.25pt;height:88.5pt;width:270pt;z-index:251676672;mso-width-relative:page;mso-height-relative:page;" filled="f" stroked="f" coordsize="21600,21600" o:gfxdata="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S9hm1QAAAAgBAAAPAAAAAAAAAAEAIAAAACIAAABkcnMv&#10;ZG93bnJldi54bWxQSwECFAAUAAAACACHTuJAoePKNAYCAAD1AwAADgAAAAAAAAABACAAAAAkAQAA&#10;ZHJzL2Uyb0RvYy54bWxQSwUGAAAAAAYABgBZAQAAnAUAAAAA&#10;">
                <v:fill on="f" focussize="0,0"/>
                <v:stroke on="f" miterlimit="8" joinstyle="miter"/>
                <v:imagedata o:title=""/>
                <o:lock v:ext="edit" aspectratio="f"/>
                <v:textbo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v:textbox>
              </v:shape>
            </w:pict>
          </mc:Fallback>
        </mc:AlternateContent>
      </w:r>
      <w:r>
        <w:rPr>
          <w:sz w:val="32"/>
          <w:szCs w:val="32"/>
        </w:rPr>
        <w:t>茧丝绸企业基本情况年报表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企业1表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ind w:firstLine="2700" w:firstLineChars="1500"/>
        <w:jc w:val="lef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ind w:firstLine="4860" w:firstLineChars="2700"/>
        <w:jc w:val="left"/>
        <w:rPr>
          <w:sz w:val="18"/>
          <w:szCs w:val="18"/>
        </w:rPr>
      </w:pPr>
      <w:r>
        <w:rPr>
          <w:rFonts w:hint="eastAsia" w:ascii="宋体" w:hAnsi="宋体"/>
          <w:sz w:val="18"/>
          <w:szCs w:val="18"/>
        </w:rPr>
        <w:t xml:space="preserve">         </w:t>
      </w:r>
      <w:r>
        <w:rPr>
          <w:sz w:val="18"/>
          <w:szCs w:val="18"/>
        </w:rPr>
        <w:t>有效期至：2018年</w:t>
      </w:r>
      <w:r>
        <w:rPr>
          <w:rFonts w:hint="eastAsia"/>
          <w:sz w:val="18"/>
          <w:szCs w:val="18"/>
          <w:lang w:val="en-US" w:eastAsia="zh-CN"/>
        </w:rPr>
        <w:t>5</w:t>
      </w:r>
      <w:r>
        <w:rPr>
          <w:sz w:val="18"/>
          <w:szCs w:val="18"/>
        </w:rPr>
        <w:t>月</w:t>
      </w:r>
    </w:p>
    <w:tbl>
      <w:tblPr>
        <w:tblStyle w:val="19"/>
        <w:tblpPr w:leftFromText="180" w:rightFromText="180" w:vertAnchor="text" w:horzAnchor="margin" w:tblpY="70"/>
        <w:tblOverlap w:val="never"/>
        <w:tblW w:w="8306"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489"/>
        <w:gridCol w:w="2384"/>
        <w:gridCol w:w="1269"/>
        <w:gridCol w:w="604"/>
        <w:gridCol w:w="489"/>
        <w:gridCol w:w="154"/>
        <w:gridCol w:w="1102"/>
        <w:gridCol w:w="181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gridSpan w:val="2"/>
            <w:tcBorders>
              <w:top w:val="nil"/>
              <w:left w:val="nil"/>
              <w:bottom w:val="double" w:color="auto" w:sz="4" w:space="0"/>
              <w:right w:val="nil"/>
            </w:tcBorders>
            <w:tcMar>
              <w:left w:w="0" w:type="dxa"/>
              <w:right w:w="0" w:type="dxa"/>
            </w:tcMar>
          </w:tcPr>
          <w:p>
            <w:pPr>
              <w:spacing w:line="240" w:lineRule="exact"/>
              <w:rPr>
                <w:rFonts w:ascii="宋体" w:cs="宋体"/>
                <w:sz w:val="32"/>
                <w:szCs w:val="32"/>
              </w:rPr>
            </w:pPr>
          </w:p>
        </w:tc>
        <w:tc>
          <w:tcPr>
            <w:tcW w:w="2516" w:type="dxa"/>
            <w:gridSpan w:val="4"/>
            <w:tcBorders>
              <w:top w:val="nil"/>
              <w:left w:val="nil"/>
              <w:bottom w:val="double" w:color="auto" w:sz="4" w:space="0"/>
              <w:right w:val="nil"/>
            </w:tcBorders>
          </w:tcPr>
          <w:p>
            <w:pPr>
              <w:spacing w:line="240" w:lineRule="exact"/>
              <w:ind w:firstLine="333" w:firstLineChars="185"/>
              <w:jc w:val="center"/>
              <w:rPr>
                <w:rFonts w:ascii="宋体" w:cs="宋体"/>
                <w:sz w:val="32"/>
                <w:szCs w:val="32"/>
              </w:rPr>
            </w:pP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p>
        </w:tc>
        <w:tc>
          <w:tcPr>
            <w:tcW w:w="1102" w:type="dxa"/>
            <w:tcBorders>
              <w:top w:val="nil"/>
              <w:left w:val="nil"/>
              <w:bottom w:val="double" w:color="auto" w:sz="4" w:space="0"/>
              <w:right w:val="nil"/>
            </w:tcBorders>
            <w:vAlign w:val="center"/>
          </w:tcPr>
          <w:p>
            <w:pPr>
              <w:spacing w:line="240" w:lineRule="exact"/>
              <w:ind w:right="-105" w:rightChars="-50"/>
              <w:jc w:val="right"/>
              <w:rPr>
                <w:rFonts w:ascii="宋体" w:cs="宋体"/>
                <w:sz w:val="32"/>
                <w:szCs w:val="32"/>
              </w:rPr>
            </w:pPr>
          </w:p>
        </w:tc>
        <w:tc>
          <w:tcPr>
            <w:tcW w:w="1815" w:type="dxa"/>
            <w:tcBorders>
              <w:top w:val="nil"/>
              <w:left w:val="nil"/>
              <w:bottom w:val="double" w:color="auto" w:sz="4" w:space="0"/>
              <w:right w:val="nil"/>
            </w:tcBorders>
            <w:vAlign w:val="center"/>
          </w:tcPr>
          <w:p>
            <w:pPr>
              <w:spacing w:line="240" w:lineRule="exact"/>
              <w:jc w:val="distribute"/>
              <w:rPr>
                <w:rFonts w:ascii="宋体" w:cs="宋体"/>
                <w:sz w:val="32"/>
                <w:szCs w:val="32"/>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op w:val="double" w:color="auto" w:sz="4" w:space="0"/>
              <w:left w:val="doub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宋体" w:hAnsi="宋体" w:cs="宋体"/>
                <w:b/>
                <w:bCs/>
                <w:sz w:val="18"/>
                <w:szCs w:val="18"/>
              </w:rPr>
            </w:pPr>
            <w:r>
              <w:rPr>
                <w:rFonts w:hint="eastAsia" w:ascii="宋体" w:hAnsi="宋体" w:cs="宋体"/>
                <w:b/>
                <w:bCs/>
                <w:sz w:val="18"/>
                <w:szCs w:val="18"/>
              </w:rPr>
              <w:t>2</w:t>
            </w:r>
            <w:r>
              <w:rPr>
                <w:rFonts w:ascii="宋体" w:hAnsi="宋体" w:cs="宋体"/>
                <w:b/>
                <w:bCs/>
                <w:sz w:val="18"/>
                <w:szCs w:val="18"/>
              </w:rPr>
              <w:t>01</w:t>
            </w:r>
          </w:p>
          <w:p>
            <w:pPr>
              <w:spacing w:line="220" w:lineRule="exact"/>
              <w:jc w:val="center"/>
              <w:rPr>
                <w:rFonts w:ascii="宋体"/>
                <w:b/>
                <w:bCs/>
                <w:sz w:val="18"/>
                <w:szCs w:val="18"/>
                <w:highlight w:val="lightGray"/>
              </w:rPr>
            </w:pPr>
            <w:r>
              <w:rPr>
                <w:rFonts w:hint="eastAsia" w:ascii="宋体" w:hAnsi="宋体" w:cs="宋体"/>
                <w:b/>
                <w:bCs/>
                <w:sz w:val="18"/>
                <w:szCs w:val="18"/>
              </w:rPr>
              <w:t>202</w:t>
            </w:r>
          </w:p>
        </w:tc>
        <w:tc>
          <w:tcPr>
            <w:tcW w:w="4257" w:type="dxa"/>
            <w:gridSpan w:val="3"/>
            <w:tcBorders>
              <w:top w:val="doub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rPr>
                <w:rFonts w:ascii="宋体" w:hAnsi="宋体" w:cs="宋体"/>
                <w:sz w:val="18"/>
                <w:szCs w:val="18"/>
              </w:rPr>
            </w:pPr>
            <w:r>
              <w:rPr>
                <w:rFonts w:hint="eastAsia" w:ascii="宋体" w:hAnsi="宋体" w:cs="宋体"/>
                <w:sz w:val="18"/>
                <w:szCs w:val="18"/>
              </w:rPr>
              <w:t>组织机构代码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r>
              <w:rPr>
                <w:rFonts w:hint="eastAsia" w:ascii="宋体" w:hAnsi="宋体" w:cs="宋体"/>
                <w:sz w:val="18"/>
                <w:szCs w:val="18"/>
              </w:rPr>
              <w:t>□</w:t>
            </w:r>
          </w:p>
          <w:p>
            <w:pPr>
              <w:spacing w:line="220" w:lineRule="exact"/>
              <w:rPr>
                <w:rFonts w:ascii="宋体"/>
                <w:sz w:val="18"/>
                <w:szCs w:val="18"/>
                <w:highlight w:val="lightGray"/>
              </w:rPr>
            </w:pPr>
            <w:r>
              <w:rPr>
                <w:rFonts w:hint="eastAsia" w:ascii="宋体" w:hAnsi="宋体" w:cs="宋体"/>
                <w:sz w:val="18"/>
                <w:szCs w:val="18"/>
              </w:rPr>
              <w:t>统一社会信用代码□□□□□□□□□□□□□□□□□□</w:t>
            </w:r>
          </w:p>
        </w:tc>
        <w:tc>
          <w:tcPr>
            <w:tcW w:w="489" w:type="dxa"/>
            <w:tcBorders>
              <w:top w:val="doub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宋体"/>
                <w:b/>
                <w:bCs/>
                <w:sz w:val="18"/>
                <w:szCs w:val="18"/>
              </w:rPr>
            </w:pPr>
            <w:r>
              <w:rPr>
                <w:rFonts w:hint="eastAsia" w:ascii="宋体" w:hAnsi="宋体" w:cs="宋体"/>
                <w:b/>
                <w:bCs/>
                <w:sz w:val="18"/>
                <w:szCs w:val="18"/>
              </w:rPr>
              <w:t>2</w:t>
            </w:r>
            <w:r>
              <w:rPr>
                <w:rFonts w:ascii="宋体" w:hAnsi="宋体" w:cs="宋体"/>
                <w:b/>
                <w:bCs/>
                <w:sz w:val="18"/>
                <w:szCs w:val="18"/>
              </w:rPr>
              <w:t>0</w:t>
            </w:r>
            <w:r>
              <w:rPr>
                <w:rFonts w:hint="eastAsia" w:ascii="宋体" w:hAnsi="宋体" w:cs="宋体"/>
                <w:b/>
                <w:bCs/>
                <w:sz w:val="18"/>
                <w:szCs w:val="18"/>
              </w:rPr>
              <w:t>3</w:t>
            </w:r>
          </w:p>
        </w:tc>
        <w:tc>
          <w:tcPr>
            <w:tcW w:w="3071" w:type="dxa"/>
            <w:gridSpan w:val="3"/>
            <w:tcBorders>
              <w:top w:val="double" w:color="auto" w:sz="4" w:space="0"/>
              <w:left w:val="single" w:color="auto" w:sz="4" w:space="0"/>
              <w:bottom w:val="single" w:color="auto" w:sz="4" w:space="0"/>
              <w:right w:val="double" w:color="auto" w:sz="4" w:space="0"/>
            </w:tcBorders>
            <w:shd w:val="clear" w:color="auto" w:fill="FFFFFF" w:themeFill="background1"/>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op w:val="single" w:color="auto" w:sz="4" w:space="0"/>
            </w:tcBorders>
            <w:shd w:val="clear" w:color="auto" w:fill="FFFFFF" w:themeFill="background1"/>
            <w:vAlign w:val="center"/>
          </w:tcPr>
          <w:p>
            <w:pPr>
              <w:spacing w:line="200" w:lineRule="exact"/>
              <w:jc w:val="center"/>
              <w:rPr>
                <w:rFonts w:ascii="宋体"/>
                <w:b/>
                <w:bCs/>
                <w:sz w:val="18"/>
                <w:szCs w:val="18"/>
              </w:rPr>
            </w:pPr>
            <w:r>
              <w:rPr>
                <w:rFonts w:hint="eastAsia" w:ascii="宋体"/>
                <w:b/>
                <w:bCs/>
                <w:sz w:val="18"/>
                <w:szCs w:val="18"/>
              </w:rPr>
              <w:t>204</w:t>
            </w:r>
          </w:p>
        </w:tc>
        <w:tc>
          <w:tcPr>
            <w:tcW w:w="7817" w:type="dxa"/>
            <w:gridSpan w:val="7"/>
            <w:tcBorders>
              <w:top w:val="single" w:color="auto" w:sz="4" w:space="0"/>
            </w:tcBorders>
            <w:shd w:val="clear" w:color="auto" w:fill="FFFFFF" w:themeFill="background1"/>
            <w:vAlign w:val="center"/>
          </w:tcPr>
          <w:p>
            <w:pPr>
              <w:spacing w:line="200" w:lineRule="exact"/>
              <w:rPr>
                <w:rFonts w:ascii="宋体"/>
                <w:sz w:val="18"/>
                <w:szCs w:val="18"/>
              </w:rPr>
            </w:pPr>
            <w:r>
              <w:rPr>
                <w:rFonts w:hint="eastAsia" w:ascii="宋体" w:hAnsi="宋体" w:cs="宋体"/>
                <w:sz w:val="18"/>
                <w:szCs w:val="18"/>
              </w:rPr>
              <w:t>单位所在地及区划</w:t>
            </w:r>
            <w:r>
              <w:rPr>
                <w:rFonts w:ascii="宋体" w:hAnsi="宋体" w:cs="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地</w:t>
            </w:r>
            <w:r>
              <w:rPr>
                <w:rFonts w:ascii="宋体" w:hAnsi="宋体" w:cs="宋体"/>
                <w:sz w:val="18"/>
                <w:szCs w:val="18"/>
              </w:rPr>
              <w:t>(</w:t>
            </w:r>
            <w:r>
              <w:rPr>
                <w:rFonts w:hint="eastAsia" w:ascii="宋体" w:hAnsi="宋体" w:cs="宋体"/>
                <w:sz w:val="18"/>
                <w:szCs w:val="18"/>
              </w:rPr>
              <w:t>区、市、州、盟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区、市、旗</w:t>
            </w:r>
            <w:r>
              <w:rPr>
                <w:rFonts w:ascii="宋体" w:hAnsi="宋体" w:cs="宋体"/>
                <w:sz w:val="18"/>
                <w:szCs w:val="18"/>
              </w:rPr>
              <w:t>)</w:t>
            </w:r>
          </w:p>
          <w:p>
            <w:pPr>
              <w:spacing w:line="200" w:lineRule="exact"/>
              <w:ind w:right="57" w:rightChars="27"/>
              <w:rPr>
                <w:rFonts w:ascii="宋体"/>
                <w:sz w:val="18"/>
                <w:szCs w:val="18"/>
              </w:rPr>
            </w:pPr>
            <w:r>
              <w:rPr>
                <w:rFonts w:ascii="宋体" w:hAnsi="宋体" w:cs="宋体"/>
                <w:sz w:val="18"/>
                <w:szCs w:val="18"/>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r>
              <w:rPr>
                <w:rFonts w:hint="eastAsia" w:ascii="宋体" w:hAnsi="宋体" w:cs="宋体"/>
                <w:b/>
                <w:bCs/>
                <w:sz w:val="18"/>
                <w:szCs w:val="18"/>
              </w:rPr>
              <w:t>205</w:t>
            </w:r>
          </w:p>
        </w:tc>
        <w:tc>
          <w:tcPr>
            <w:tcW w:w="7817" w:type="dxa"/>
            <w:gridSpan w:val="7"/>
            <w:tcBorders>
              <w:tl2br w:val="nil"/>
              <w:tr2bl w:val="nil"/>
            </w:tcBorders>
            <w:shd w:val="clear" w:color="auto" w:fill="FFFFFF" w:themeFill="background1"/>
            <w:vAlign w:val="center"/>
          </w:tcPr>
          <w:p>
            <w:pPr>
              <w:spacing w:line="200" w:lineRule="exact"/>
              <w:ind w:right="57" w:rightChars="27"/>
              <w:rPr>
                <w:rFonts w:ascii="宋体" w:hAnsi="宋体" w:cs="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l2br w:val="nil"/>
              <w:tr2bl w:val="nil"/>
            </w:tcBorders>
            <w:shd w:val="clear" w:color="auto" w:fill="FFFFFF" w:themeFill="background1"/>
            <w:vAlign w:val="center"/>
          </w:tcPr>
          <w:p>
            <w:pPr>
              <w:spacing w:line="200" w:lineRule="exact"/>
              <w:jc w:val="center"/>
              <w:rPr>
                <w:rFonts w:ascii="宋体"/>
                <w:b/>
                <w:bCs/>
                <w:sz w:val="18"/>
                <w:szCs w:val="18"/>
              </w:rPr>
            </w:pPr>
            <w:r>
              <w:rPr>
                <w:rFonts w:hint="eastAsia" w:ascii="宋体" w:hAnsi="宋体" w:cs="宋体"/>
                <w:b/>
                <w:bCs/>
                <w:sz w:val="18"/>
                <w:szCs w:val="18"/>
              </w:rPr>
              <w:t>206</w:t>
            </w:r>
          </w:p>
        </w:tc>
        <w:tc>
          <w:tcPr>
            <w:tcW w:w="7817" w:type="dxa"/>
            <w:gridSpan w:val="7"/>
            <w:tcBorders>
              <w:tl2br w:val="nil"/>
              <w:tr2bl w:val="nil"/>
            </w:tcBorders>
            <w:shd w:val="clear" w:color="auto" w:fill="FFFFFF" w:themeFill="background1"/>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hint="eastAsia"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489" w:type="dxa"/>
            <w:vMerge w:val="restart"/>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r>
              <w:rPr>
                <w:rFonts w:hint="eastAsia" w:ascii="宋体" w:hAnsi="宋体" w:cs="宋体"/>
                <w:b/>
                <w:bCs/>
                <w:sz w:val="18"/>
                <w:szCs w:val="18"/>
              </w:rPr>
              <w:t>207</w:t>
            </w:r>
          </w:p>
        </w:tc>
        <w:tc>
          <w:tcPr>
            <w:tcW w:w="2384" w:type="dxa"/>
            <w:vMerge w:val="restart"/>
            <w:tcBorders>
              <w:tl2br w:val="nil"/>
              <w:tr2bl w:val="nil"/>
            </w:tcBorders>
            <w:shd w:val="clear" w:color="auto" w:fill="FFFFFF" w:themeFill="background1"/>
            <w:vAlign w:val="center"/>
          </w:tcPr>
          <w:p>
            <w:pPr>
              <w:spacing w:line="200" w:lineRule="exact"/>
              <w:rPr>
                <w:rFonts w:ascii="宋体" w:hAnsi="宋体" w:cs="宋体"/>
                <w:sz w:val="18"/>
                <w:szCs w:val="18"/>
              </w:rPr>
            </w:pPr>
            <w:r>
              <w:rPr>
                <w:rFonts w:hint="eastAsia" w:ascii="宋体" w:hAnsi="宋体" w:cs="宋体"/>
                <w:sz w:val="18"/>
                <w:szCs w:val="18"/>
              </w:rPr>
              <w:t>生产情况</w:t>
            </w:r>
          </w:p>
          <w:p>
            <w:pPr>
              <w:spacing w:line="200" w:lineRule="exact"/>
              <w:rPr>
                <w:rFonts w:ascii="宋体" w:hAnsi="宋体" w:cs="宋体"/>
                <w:sz w:val="18"/>
                <w:szCs w:val="18"/>
              </w:rPr>
            </w:pPr>
            <w:r>
              <w:rPr>
                <w:rFonts w:hint="eastAsia" w:ascii="宋体" w:hAnsi="宋体" w:cs="宋体"/>
                <w:sz w:val="18"/>
                <w:szCs w:val="18"/>
              </w:rPr>
              <w:t>（丝绸生产类企业填写）</w:t>
            </w:r>
          </w:p>
        </w:tc>
        <w:tc>
          <w:tcPr>
            <w:tcW w:w="5433" w:type="dxa"/>
            <w:gridSpan w:val="6"/>
            <w:tcBorders>
              <w:tl2br w:val="nil"/>
              <w:tr2bl w:val="nil"/>
            </w:tcBorders>
            <w:shd w:val="clear" w:color="auto" w:fill="FFFFFF" w:themeFill="background1"/>
            <w:vAlign w:val="center"/>
          </w:tcPr>
          <w:p>
            <w:pPr>
              <w:adjustRightInd w:val="0"/>
              <w:snapToGrid w:val="0"/>
              <w:spacing w:line="60" w:lineRule="atLeast"/>
              <w:rPr>
                <w:sz w:val="18"/>
                <w:szCs w:val="18"/>
              </w:rPr>
            </w:pPr>
            <w:r>
              <w:rPr>
                <w:rFonts w:hint="eastAsia"/>
                <w:sz w:val="18"/>
                <w:szCs w:val="18"/>
              </w:rPr>
              <w:t>主要设备</w:t>
            </w:r>
          </w:p>
          <w:p>
            <w:pPr>
              <w:adjustRightInd w:val="0"/>
              <w:snapToGrid w:val="0"/>
              <w:spacing w:line="60" w:lineRule="atLeast"/>
              <w:rPr>
                <w:sz w:val="18"/>
                <w:szCs w:val="18"/>
              </w:rPr>
            </w:pPr>
            <w:r>
              <w:rPr>
                <w:sz w:val="18"/>
                <w:szCs w:val="18"/>
              </w:rPr>
              <w:t>01</w:t>
            </w:r>
            <w:r>
              <w:rPr>
                <w:rFonts w:hint="eastAsia"/>
                <w:sz w:val="18"/>
                <w:szCs w:val="18"/>
              </w:rPr>
              <w:t>__（单位：</w:t>
            </w:r>
            <w:r>
              <w:rPr>
                <w:sz w:val="18"/>
                <w:szCs w:val="18"/>
              </w:rPr>
              <w:t>台</w:t>
            </w:r>
            <w:r>
              <w:rPr>
                <w:rFonts w:hint="eastAsia"/>
                <w:sz w:val="18"/>
                <w:szCs w:val="18"/>
              </w:rPr>
              <w:t>）</w:t>
            </w:r>
            <w:r>
              <w:rPr>
                <w:sz w:val="18"/>
                <w:szCs w:val="18"/>
              </w:rPr>
              <w:t>；02</w:t>
            </w:r>
            <w:r>
              <w:rPr>
                <w:rFonts w:hint="eastAsia"/>
                <w:sz w:val="18"/>
                <w:szCs w:val="18"/>
              </w:rPr>
              <w:t>__（单位：</w:t>
            </w:r>
            <w:r>
              <w:rPr>
                <w:sz w:val="18"/>
                <w:szCs w:val="18"/>
              </w:rPr>
              <w:t>台</w:t>
            </w:r>
            <w:r>
              <w:rPr>
                <w:rFonts w:hint="eastAsia"/>
                <w:sz w:val="18"/>
                <w:szCs w:val="18"/>
              </w:rPr>
              <w:t>）</w:t>
            </w:r>
            <w:r>
              <w:rPr>
                <w:sz w:val="18"/>
                <w:szCs w:val="18"/>
              </w:rPr>
              <w:t>；03</w:t>
            </w:r>
            <w:r>
              <w:rPr>
                <w:rFonts w:hint="eastAsia"/>
                <w:sz w:val="18"/>
                <w:szCs w:val="18"/>
              </w:rPr>
              <w:t>__（单位：</w:t>
            </w:r>
            <w:r>
              <w:rPr>
                <w:sz w:val="18"/>
                <w:szCs w:val="18"/>
              </w:rPr>
              <w:t>台</w:t>
            </w:r>
            <w:r>
              <w:rPr>
                <w:rFonts w:hint="eastAsia"/>
                <w:sz w:val="18"/>
                <w:szCs w:val="18"/>
              </w:rPr>
              <w:t>）</w:t>
            </w:r>
            <w:r>
              <w:rPr>
                <w:sz w:val="18"/>
                <w:szCs w:val="18"/>
              </w:rPr>
              <w:t>；</w:t>
            </w:r>
          </w:p>
          <w:p>
            <w:pPr>
              <w:adjustRightInd w:val="0"/>
              <w:snapToGrid w:val="0"/>
              <w:spacing w:line="60" w:lineRule="atLeast"/>
              <w:rPr>
                <w:sz w:val="18"/>
                <w:szCs w:val="18"/>
              </w:rPr>
            </w:pPr>
            <w:r>
              <w:rPr>
                <w:rFonts w:hint="eastAsia"/>
                <w:sz w:val="18"/>
                <w:szCs w:val="18"/>
              </w:rPr>
              <w:t>04__（单位：</w:t>
            </w:r>
            <w:r>
              <w:rPr>
                <w:sz w:val="18"/>
                <w:szCs w:val="18"/>
              </w:rPr>
              <w:t>台</w:t>
            </w:r>
            <w:r>
              <w:rPr>
                <w:rFonts w:hint="eastAsia"/>
                <w:sz w:val="18"/>
                <w:szCs w:val="18"/>
              </w:rPr>
              <w:t>）；</w:t>
            </w:r>
            <w:r>
              <w:rPr>
                <w:sz w:val="18"/>
                <w:szCs w:val="18"/>
              </w:rPr>
              <w:t>05</w:t>
            </w:r>
            <w:r>
              <w:rPr>
                <w:rFonts w:hint="eastAsia"/>
                <w:sz w:val="18"/>
                <w:szCs w:val="18"/>
              </w:rPr>
              <w:t>__（单位：</w:t>
            </w:r>
            <w:r>
              <w:rPr>
                <w:sz w:val="18"/>
                <w:szCs w:val="18"/>
              </w:rPr>
              <w:t>台</w:t>
            </w: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vMerge w:val="continue"/>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p>
        </w:tc>
        <w:tc>
          <w:tcPr>
            <w:tcW w:w="2384" w:type="dxa"/>
            <w:vMerge w:val="continue"/>
            <w:tcBorders>
              <w:tl2br w:val="nil"/>
              <w:tr2bl w:val="nil"/>
            </w:tcBorders>
            <w:shd w:val="clear" w:color="auto" w:fill="FFFFFF" w:themeFill="background1"/>
            <w:vAlign w:val="center"/>
          </w:tcPr>
          <w:p>
            <w:pPr>
              <w:spacing w:line="200" w:lineRule="exact"/>
              <w:rPr>
                <w:rFonts w:ascii="宋体" w:hAnsi="宋体" w:cs="宋体"/>
                <w:sz w:val="18"/>
                <w:szCs w:val="18"/>
              </w:rPr>
            </w:pPr>
          </w:p>
        </w:tc>
        <w:tc>
          <w:tcPr>
            <w:tcW w:w="5433" w:type="dxa"/>
            <w:gridSpan w:val="6"/>
            <w:tcBorders>
              <w:tl2br w:val="nil"/>
              <w:tr2bl w:val="nil"/>
            </w:tcBorders>
            <w:shd w:val="clear" w:color="auto" w:fill="FFFFFF" w:themeFill="background1"/>
            <w:vAlign w:val="center"/>
          </w:tcPr>
          <w:p>
            <w:pPr>
              <w:adjustRightInd w:val="0"/>
              <w:snapToGrid w:val="0"/>
              <w:spacing w:line="60" w:lineRule="atLeast"/>
              <w:rPr>
                <w:sz w:val="18"/>
                <w:szCs w:val="18"/>
              </w:rPr>
            </w:pPr>
            <w:r>
              <w:rPr>
                <w:rFonts w:hint="eastAsia"/>
                <w:sz w:val="18"/>
                <w:szCs w:val="18"/>
              </w:rPr>
              <w:t>主要产品生产能力</w:t>
            </w:r>
          </w:p>
          <w:p>
            <w:pPr>
              <w:adjustRightInd w:val="0"/>
              <w:snapToGrid w:val="0"/>
              <w:spacing w:line="60" w:lineRule="atLeast"/>
              <w:rPr>
                <w:sz w:val="18"/>
                <w:szCs w:val="18"/>
              </w:rPr>
            </w:pPr>
            <w:r>
              <w:rPr>
                <w:sz w:val="18"/>
                <w:szCs w:val="18"/>
              </w:rPr>
              <w:t>01</w:t>
            </w:r>
            <w:r>
              <w:rPr>
                <w:rFonts w:hint="eastAsia"/>
                <w:sz w:val="18"/>
                <w:szCs w:val="18"/>
              </w:rPr>
              <w:t>__（单位：吨）</w:t>
            </w:r>
            <w:r>
              <w:rPr>
                <w:sz w:val="18"/>
                <w:szCs w:val="18"/>
              </w:rPr>
              <w:t>；02</w:t>
            </w:r>
            <w:r>
              <w:rPr>
                <w:rFonts w:hint="eastAsia"/>
                <w:sz w:val="18"/>
                <w:szCs w:val="18"/>
              </w:rPr>
              <w:t>__（单位：吨）</w:t>
            </w:r>
            <w:r>
              <w:rPr>
                <w:sz w:val="18"/>
                <w:szCs w:val="18"/>
              </w:rPr>
              <w:t>；03</w:t>
            </w:r>
            <w:r>
              <w:rPr>
                <w:rFonts w:hint="eastAsia"/>
                <w:sz w:val="18"/>
                <w:szCs w:val="18"/>
              </w:rPr>
              <w:t>__（单位：</w:t>
            </w:r>
            <w:r>
              <w:rPr>
                <w:sz w:val="18"/>
                <w:szCs w:val="18"/>
              </w:rPr>
              <w:t>万米</w:t>
            </w:r>
            <w:r>
              <w:rPr>
                <w:rFonts w:hint="eastAsia"/>
                <w:sz w:val="18"/>
                <w:szCs w:val="18"/>
              </w:rPr>
              <w:t>）；</w:t>
            </w:r>
          </w:p>
          <w:p>
            <w:pPr>
              <w:adjustRightInd w:val="0"/>
              <w:snapToGrid w:val="0"/>
              <w:spacing w:line="60" w:lineRule="atLeast"/>
              <w:rPr>
                <w:sz w:val="18"/>
                <w:szCs w:val="18"/>
              </w:rPr>
            </w:pPr>
            <w:r>
              <w:rPr>
                <w:rFonts w:hint="eastAsia"/>
                <w:sz w:val="18"/>
                <w:szCs w:val="18"/>
              </w:rPr>
              <w:t>04__（单位：万件）；05__（单位：</w:t>
            </w:r>
            <w:r>
              <w:rPr>
                <w:sz w:val="18"/>
                <w:szCs w:val="18"/>
              </w:rPr>
              <w:t>万件</w:t>
            </w:r>
            <w:r>
              <w:rPr>
                <w:rFonts w:hint="eastAsia"/>
                <w:sz w:val="18"/>
                <w:szCs w:val="18"/>
              </w:rPr>
              <w:t>）；06__（单位：吨/万米/万件）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89" w:type="dxa"/>
            <w:tcBorders>
              <w:tl2br w:val="nil"/>
              <w:tr2bl w:val="nil"/>
            </w:tcBorders>
            <w:vAlign w:val="center"/>
          </w:tcPr>
          <w:p>
            <w:pPr>
              <w:spacing w:line="220" w:lineRule="exact"/>
              <w:jc w:val="center"/>
              <w:rPr>
                <w:rFonts w:ascii="宋体"/>
                <w:b/>
                <w:bCs/>
                <w:sz w:val="18"/>
                <w:szCs w:val="18"/>
              </w:rPr>
            </w:pPr>
            <w:r>
              <w:rPr>
                <w:rFonts w:hint="eastAsia" w:ascii="宋体"/>
                <w:b/>
                <w:bCs/>
                <w:sz w:val="18"/>
                <w:szCs w:val="18"/>
              </w:rPr>
              <w:t>208</w:t>
            </w:r>
          </w:p>
        </w:tc>
        <w:tc>
          <w:tcPr>
            <w:tcW w:w="7817" w:type="dxa"/>
            <w:gridSpan w:val="7"/>
            <w:tcBorders>
              <w:tl2br w:val="nil"/>
              <w:tr2bl w:val="nil"/>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489" w:type="dxa"/>
            <w:tcBorders>
              <w:tl2br w:val="nil"/>
              <w:tr2bl w:val="nil"/>
            </w:tcBorders>
            <w:vAlign w:val="center"/>
          </w:tcPr>
          <w:p>
            <w:pPr>
              <w:spacing w:line="220" w:lineRule="exact"/>
              <w:jc w:val="center"/>
              <w:rPr>
                <w:rFonts w:ascii="宋体"/>
                <w:b/>
                <w:bCs/>
                <w:sz w:val="18"/>
                <w:szCs w:val="18"/>
              </w:rPr>
            </w:pPr>
            <w:r>
              <w:rPr>
                <w:rFonts w:hint="eastAsia" w:ascii="宋体"/>
                <w:b/>
                <w:bCs/>
                <w:sz w:val="18"/>
                <w:szCs w:val="18"/>
              </w:rPr>
              <w:t>209</w:t>
            </w:r>
          </w:p>
        </w:tc>
        <w:tc>
          <w:tcPr>
            <w:tcW w:w="3653" w:type="dxa"/>
            <w:gridSpan w:val="2"/>
            <w:tcBorders>
              <w:tl2br w:val="nil"/>
              <w:tr2bl w:val="nil"/>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164" w:type="dxa"/>
            <w:gridSpan w:val="5"/>
            <w:tcBorders>
              <w:tl2br w:val="nil"/>
              <w:tr2bl w:val="nil"/>
            </w:tcBorders>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489" w:type="dxa"/>
            <w:tcBorders>
              <w:tl2br w:val="nil"/>
              <w:tr2bl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210</w:t>
            </w:r>
          </w:p>
        </w:tc>
        <w:tc>
          <w:tcPr>
            <w:tcW w:w="7817" w:type="dxa"/>
            <w:gridSpan w:val="7"/>
            <w:tcBorders>
              <w:tl2br w:val="nil"/>
              <w:tr2bl w:val="nil"/>
            </w:tcBorders>
            <w:vAlign w:val="center"/>
          </w:tcPr>
          <w:p>
            <w:pPr>
              <w:widowControl/>
              <w:spacing w:line="200" w:lineRule="exact"/>
              <w:rPr>
                <w:rFonts w:ascii="宋体" w:hAnsi="宋体" w:cs="宋体"/>
                <w:sz w:val="18"/>
                <w:szCs w:val="18"/>
              </w:rPr>
            </w:pPr>
            <w:r>
              <w:rPr>
                <w:rFonts w:hint="eastAsia" w:ascii="宋体" w:hAnsi="宋体" w:cs="宋体"/>
                <w:sz w:val="18"/>
                <w:szCs w:val="18"/>
              </w:rPr>
              <w:t>企业类型</w:t>
            </w:r>
            <w:r>
              <w:rPr>
                <w:rFonts w:ascii="宋体" w:hAnsi="宋体" w:cs="宋体"/>
                <w:sz w:val="18"/>
                <w:szCs w:val="18"/>
              </w:rPr>
              <w:t xml:space="preserve">    </w:t>
            </w:r>
            <w:r>
              <w:rPr>
                <w:rFonts w:hint="eastAsia" w:ascii="宋体" w:hAnsi="宋体" w:cs="宋体"/>
                <w:sz w:val="18"/>
                <w:szCs w:val="18"/>
              </w:rPr>
              <w:t>□□□</w:t>
            </w:r>
          </w:p>
          <w:p>
            <w:pPr>
              <w:widowControl/>
              <w:spacing w:line="200" w:lineRule="exact"/>
              <w:rPr>
                <w:rFonts w:ascii="宋体" w:hAnsi="宋体" w:cs="宋体"/>
                <w:sz w:val="18"/>
                <w:szCs w:val="18"/>
              </w:rPr>
            </w:pPr>
            <w:r>
              <w:rPr>
                <w:rFonts w:hint="eastAsia" w:ascii="宋体" w:hAnsi="宋体" w:cs="宋体"/>
                <w:sz w:val="18"/>
                <w:szCs w:val="18"/>
              </w:rPr>
              <w:t xml:space="preserve">211蚕茧生产企业           212缫丝生产企业           213丝绸制品生产加工企业 </w:t>
            </w:r>
          </w:p>
          <w:p>
            <w:pPr>
              <w:widowControl/>
              <w:spacing w:line="200" w:lineRule="exact"/>
              <w:rPr>
                <w:rFonts w:ascii="宋体" w:hAnsi="宋体" w:cs="宋体"/>
                <w:sz w:val="18"/>
                <w:szCs w:val="18"/>
              </w:rPr>
            </w:pPr>
            <w:r>
              <w:rPr>
                <w:rFonts w:hint="eastAsia" w:ascii="宋体" w:hAnsi="宋体" w:cs="宋体"/>
                <w:sz w:val="18"/>
                <w:szCs w:val="18"/>
              </w:rPr>
              <w:t xml:space="preserve">214真丝绸缎批发企业       215家纺批发企业           216服装服饰批发企业 </w:t>
            </w:r>
          </w:p>
          <w:p>
            <w:pPr>
              <w:widowControl/>
              <w:spacing w:line="200" w:lineRule="exact"/>
              <w:rPr>
                <w:rFonts w:ascii="宋体" w:hAnsi="宋体" w:cs="宋体"/>
                <w:sz w:val="18"/>
                <w:szCs w:val="18"/>
              </w:rPr>
            </w:pPr>
            <w:r>
              <w:rPr>
                <w:rFonts w:hint="eastAsia" w:ascii="宋体" w:hAnsi="宋体" w:cs="宋体"/>
                <w:sz w:val="18"/>
                <w:szCs w:val="18"/>
              </w:rPr>
              <w:t xml:space="preserve">217其他丝绸制品批发企业   218丝织绸缎零售企业       219家纺零售企业 </w:t>
            </w:r>
          </w:p>
          <w:p>
            <w:pPr>
              <w:widowControl/>
              <w:spacing w:line="200" w:lineRule="exact"/>
              <w:rPr>
                <w:rFonts w:ascii="宋体" w:hAnsi="宋体" w:cs="宋体"/>
                <w:sz w:val="18"/>
                <w:szCs w:val="18"/>
              </w:rPr>
            </w:pPr>
            <w:r>
              <w:rPr>
                <w:rFonts w:hint="eastAsia" w:ascii="宋体" w:hAnsi="宋体" w:cs="宋体"/>
                <w:sz w:val="18"/>
                <w:szCs w:val="18"/>
              </w:rPr>
              <w:t>220服装服饰零售企业       221其他丝绸制品零售企业   222其他企业</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489" w:type="dxa"/>
            <w:tcBorders>
              <w:tl2br w:val="nil"/>
              <w:tr2bl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223</w:t>
            </w:r>
          </w:p>
        </w:tc>
        <w:tc>
          <w:tcPr>
            <w:tcW w:w="7817" w:type="dxa"/>
            <w:gridSpan w:val="7"/>
            <w:tcBorders>
              <w:tl2br w:val="nil"/>
              <w:tr2bl w:val="nil"/>
            </w:tcBorders>
            <w:vAlign w:val="center"/>
          </w:tcPr>
          <w:p>
            <w:pPr>
              <w:widowControl/>
              <w:spacing w:line="200" w:lineRule="exact"/>
              <w:rPr>
                <w:rFonts w:ascii="宋体" w:hAnsi="宋体" w:cs="宋体"/>
                <w:sz w:val="10"/>
                <w:szCs w:val="10"/>
              </w:rPr>
            </w:pPr>
          </w:p>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hint="eastAsia" w:ascii="宋体" w:hAnsi="宋体" w:cs="宋体"/>
                <w:sz w:val="18"/>
                <w:szCs w:val="18"/>
              </w:rPr>
              <w:t>224</w:t>
            </w:r>
            <w:r>
              <w:rPr>
                <w:rFonts w:ascii="宋体" w:hAnsi="宋体" w:cs="宋体"/>
                <w:sz w:val="18"/>
                <w:szCs w:val="18"/>
              </w:rPr>
              <w:t xml:space="preserve"> </w:t>
            </w:r>
            <w:r>
              <w:rPr>
                <w:rFonts w:hint="eastAsia" w:ascii="宋体" w:hAnsi="宋体" w:cs="宋体"/>
                <w:sz w:val="18"/>
                <w:szCs w:val="18"/>
              </w:rPr>
              <w:t>国有</w:t>
            </w:r>
            <w:r>
              <w:rPr>
                <w:rFonts w:ascii="宋体" w:hAnsi="宋体" w:cs="宋体"/>
                <w:sz w:val="18"/>
                <w:szCs w:val="18"/>
              </w:rPr>
              <w:t xml:space="preserve">           </w:t>
            </w:r>
            <w:r>
              <w:rPr>
                <w:rFonts w:hint="eastAsia" w:ascii="宋体" w:hAnsi="宋体" w:cs="宋体"/>
                <w:sz w:val="18"/>
                <w:szCs w:val="18"/>
              </w:rPr>
              <w:t>225</w:t>
            </w:r>
            <w:r>
              <w:rPr>
                <w:rFonts w:ascii="宋体" w:hAnsi="宋体" w:cs="宋体"/>
                <w:sz w:val="18"/>
                <w:szCs w:val="18"/>
              </w:rPr>
              <w:t xml:space="preserve"> </w:t>
            </w:r>
            <w:r>
              <w:rPr>
                <w:rFonts w:hint="eastAsia" w:ascii="宋体" w:hAnsi="宋体" w:cs="宋体"/>
                <w:sz w:val="18"/>
                <w:szCs w:val="18"/>
              </w:rPr>
              <w:t>其他有限责任公司</w:t>
            </w:r>
            <w:r>
              <w:rPr>
                <w:rFonts w:ascii="宋体" w:hAnsi="宋体" w:cs="宋体"/>
                <w:sz w:val="18"/>
                <w:szCs w:val="18"/>
              </w:rPr>
              <w:t xml:space="preserve">   </w:t>
            </w:r>
            <w:r>
              <w:rPr>
                <w:rFonts w:hint="eastAsia" w:ascii="宋体" w:hAnsi="宋体" w:cs="宋体"/>
                <w:sz w:val="18"/>
                <w:szCs w:val="18"/>
              </w:rPr>
              <w:t>239</w:t>
            </w:r>
            <w:r>
              <w:rPr>
                <w:rFonts w:ascii="宋体" w:hAnsi="宋体" w:cs="宋体"/>
                <w:sz w:val="18"/>
                <w:szCs w:val="18"/>
              </w:rPr>
              <w:t xml:space="preserve"> </w:t>
            </w:r>
            <w:r>
              <w:rPr>
                <w:rFonts w:hint="eastAsia" w:ascii="宋体" w:hAnsi="宋体" w:cs="宋体"/>
                <w:sz w:val="18"/>
                <w:szCs w:val="18"/>
              </w:rPr>
              <w:t>与港澳台商合资经营</w:t>
            </w:r>
            <w:r>
              <w:rPr>
                <w:rFonts w:ascii="宋体" w:hAnsi="宋体" w:cs="宋体"/>
                <w:sz w:val="18"/>
                <w:szCs w:val="18"/>
              </w:rPr>
              <w:t xml:space="preserve">        </w:t>
            </w:r>
            <w:r>
              <w:rPr>
                <w:rFonts w:hint="eastAsia" w:ascii="宋体" w:hAnsi="宋体" w:cs="宋体"/>
                <w:sz w:val="18"/>
                <w:szCs w:val="18"/>
              </w:rPr>
              <w:t>244</w:t>
            </w:r>
            <w:r>
              <w:rPr>
                <w:rFonts w:ascii="宋体" w:hAnsi="宋体" w:cs="宋体"/>
                <w:sz w:val="18"/>
                <w:szCs w:val="18"/>
              </w:rPr>
              <w:t xml:space="preserve">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hint="eastAsia" w:ascii="宋体" w:hAnsi="宋体" w:cs="宋体"/>
                <w:sz w:val="18"/>
                <w:szCs w:val="18"/>
              </w:rPr>
              <w:t>226</w:t>
            </w:r>
            <w:r>
              <w:rPr>
                <w:rFonts w:ascii="宋体" w:hAnsi="宋体" w:cs="宋体"/>
                <w:sz w:val="18"/>
                <w:szCs w:val="18"/>
              </w:rPr>
              <w:t xml:space="preserve"> </w:t>
            </w:r>
            <w:r>
              <w:rPr>
                <w:rFonts w:hint="eastAsia" w:ascii="宋体" w:hAnsi="宋体" w:cs="宋体"/>
                <w:sz w:val="18"/>
                <w:szCs w:val="18"/>
              </w:rPr>
              <w:t>集体</w:t>
            </w:r>
            <w:r>
              <w:rPr>
                <w:rFonts w:ascii="宋体" w:hAnsi="宋体" w:cs="宋体"/>
                <w:sz w:val="18"/>
                <w:szCs w:val="18"/>
              </w:rPr>
              <w:t xml:space="preserve">           </w:t>
            </w:r>
            <w:r>
              <w:rPr>
                <w:rFonts w:hint="eastAsia" w:ascii="宋体" w:hAnsi="宋体" w:cs="宋体"/>
                <w:sz w:val="18"/>
                <w:szCs w:val="18"/>
              </w:rPr>
              <w:t>227</w:t>
            </w:r>
            <w:r>
              <w:rPr>
                <w:rFonts w:ascii="宋体" w:hAnsi="宋体" w:cs="宋体"/>
                <w:sz w:val="18"/>
                <w:szCs w:val="18"/>
              </w:rPr>
              <w:t xml:space="preserve"> </w:t>
            </w:r>
            <w:r>
              <w:rPr>
                <w:rFonts w:hint="eastAsia" w:ascii="宋体" w:hAnsi="宋体" w:cs="宋体"/>
                <w:sz w:val="18"/>
                <w:szCs w:val="18"/>
              </w:rPr>
              <w:t>股份有限公司</w:t>
            </w:r>
            <w:r>
              <w:rPr>
                <w:rFonts w:ascii="宋体" w:hAnsi="宋体" w:cs="宋体"/>
                <w:sz w:val="18"/>
                <w:szCs w:val="18"/>
              </w:rPr>
              <w:t xml:space="preserve">       </w:t>
            </w:r>
            <w:r>
              <w:rPr>
                <w:rFonts w:hint="eastAsia" w:ascii="宋体" w:hAnsi="宋体" w:cs="宋体"/>
                <w:sz w:val="18"/>
                <w:szCs w:val="18"/>
              </w:rPr>
              <w:t>240</w:t>
            </w:r>
            <w:r>
              <w:rPr>
                <w:rFonts w:ascii="宋体" w:hAnsi="宋体" w:cs="宋体"/>
                <w:sz w:val="18"/>
                <w:szCs w:val="18"/>
              </w:rPr>
              <w:t xml:space="preserve"> </w:t>
            </w:r>
            <w:r>
              <w:rPr>
                <w:rFonts w:hint="eastAsia" w:ascii="宋体" w:hAnsi="宋体" w:cs="宋体"/>
                <w:sz w:val="18"/>
                <w:szCs w:val="18"/>
              </w:rPr>
              <w:t>与港澳台商合作经营</w:t>
            </w:r>
            <w:r>
              <w:rPr>
                <w:rFonts w:ascii="宋体" w:hAnsi="宋体" w:cs="宋体"/>
                <w:sz w:val="18"/>
                <w:szCs w:val="18"/>
              </w:rPr>
              <w:t xml:space="preserve">        </w:t>
            </w:r>
            <w:r>
              <w:rPr>
                <w:rFonts w:hint="eastAsia" w:ascii="宋体" w:hAnsi="宋体" w:cs="宋体"/>
                <w:sz w:val="18"/>
                <w:szCs w:val="18"/>
              </w:rPr>
              <w:t>245</w:t>
            </w:r>
            <w:r>
              <w:rPr>
                <w:rFonts w:ascii="宋体" w:hAnsi="宋体" w:cs="宋体"/>
                <w:sz w:val="18"/>
                <w:szCs w:val="18"/>
              </w:rPr>
              <w:t xml:space="preserve">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hint="eastAsia" w:ascii="宋体" w:hAnsi="宋体" w:cs="宋体"/>
                <w:sz w:val="18"/>
                <w:szCs w:val="18"/>
              </w:rPr>
              <w:t>228</w:t>
            </w:r>
            <w:r>
              <w:rPr>
                <w:rFonts w:ascii="宋体" w:hAnsi="宋体" w:cs="宋体"/>
                <w:sz w:val="18"/>
                <w:szCs w:val="18"/>
              </w:rPr>
              <w:t xml:space="preserve"> </w:t>
            </w:r>
            <w:r>
              <w:rPr>
                <w:rFonts w:hint="eastAsia" w:ascii="宋体" w:hAnsi="宋体" w:cs="宋体"/>
                <w:sz w:val="18"/>
                <w:szCs w:val="18"/>
              </w:rPr>
              <w:t>股份合作</w:t>
            </w:r>
            <w:r>
              <w:rPr>
                <w:rFonts w:ascii="宋体" w:hAnsi="宋体" w:cs="宋体"/>
                <w:sz w:val="18"/>
                <w:szCs w:val="18"/>
              </w:rPr>
              <w:t xml:space="preserve">       </w:t>
            </w:r>
            <w:r>
              <w:rPr>
                <w:rFonts w:hint="eastAsia" w:ascii="宋体" w:hAnsi="宋体" w:cs="宋体"/>
                <w:sz w:val="18"/>
                <w:szCs w:val="18"/>
              </w:rPr>
              <w:t>229</w:t>
            </w:r>
            <w:r>
              <w:rPr>
                <w:rFonts w:ascii="宋体" w:hAnsi="宋体" w:cs="宋体"/>
                <w:sz w:val="18"/>
                <w:szCs w:val="18"/>
              </w:rPr>
              <w:t xml:space="preserve"> </w:t>
            </w:r>
            <w:r>
              <w:rPr>
                <w:rFonts w:hint="eastAsia" w:ascii="宋体" w:hAnsi="宋体" w:cs="宋体"/>
                <w:sz w:val="18"/>
                <w:szCs w:val="18"/>
              </w:rPr>
              <w:t>私营独资</w:t>
            </w:r>
            <w:r>
              <w:rPr>
                <w:rFonts w:ascii="宋体" w:hAnsi="宋体" w:cs="宋体"/>
                <w:sz w:val="18"/>
                <w:szCs w:val="18"/>
              </w:rPr>
              <w:t xml:space="preserve">           </w:t>
            </w:r>
            <w:r>
              <w:rPr>
                <w:rFonts w:hint="eastAsia" w:ascii="宋体" w:hAnsi="宋体" w:cs="宋体"/>
                <w:sz w:val="18"/>
                <w:szCs w:val="18"/>
              </w:rPr>
              <w:t>241</w:t>
            </w:r>
            <w:r>
              <w:rPr>
                <w:rFonts w:ascii="宋体" w:hAnsi="宋体" w:cs="宋体"/>
                <w:sz w:val="18"/>
                <w:szCs w:val="18"/>
              </w:rPr>
              <w:t xml:space="preserve"> </w:t>
            </w:r>
            <w:r>
              <w:rPr>
                <w:rFonts w:hint="eastAsia" w:ascii="宋体" w:hAnsi="宋体" w:cs="宋体"/>
                <w:sz w:val="18"/>
                <w:szCs w:val="18"/>
              </w:rPr>
              <w:t>港澳台商独资</w:t>
            </w:r>
            <w:r>
              <w:rPr>
                <w:rFonts w:ascii="宋体" w:hAnsi="宋体" w:cs="宋体"/>
                <w:sz w:val="18"/>
                <w:szCs w:val="18"/>
              </w:rPr>
              <w:t xml:space="preserve">              </w:t>
            </w:r>
            <w:r>
              <w:rPr>
                <w:rFonts w:hint="eastAsia" w:ascii="宋体" w:hAnsi="宋体" w:cs="宋体"/>
                <w:sz w:val="18"/>
                <w:szCs w:val="18"/>
              </w:rPr>
              <w:t>246</w:t>
            </w:r>
            <w:r>
              <w:rPr>
                <w:rFonts w:ascii="宋体" w:hAnsi="宋体" w:cs="宋体"/>
                <w:sz w:val="18"/>
                <w:szCs w:val="18"/>
              </w:rPr>
              <w:t xml:space="preserve">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hint="eastAsia" w:ascii="宋体" w:hAnsi="宋体" w:cs="宋体"/>
                <w:sz w:val="18"/>
                <w:szCs w:val="18"/>
              </w:rPr>
              <w:t>230</w:t>
            </w:r>
            <w:r>
              <w:rPr>
                <w:rFonts w:ascii="宋体" w:hAnsi="宋体" w:cs="宋体"/>
                <w:sz w:val="18"/>
                <w:szCs w:val="18"/>
              </w:rPr>
              <w:t xml:space="preserve"> </w:t>
            </w:r>
            <w:r>
              <w:rPr>
                <w:rFonts w:hint="eastAsia" w:ascii="宋体" w:hAnsi="宋体" w:cs="宋体"/>
                <w:sz w:val="18"/>
                <w:szCs w:val="18"/>
              </w:rPr>
              <w:t>国有联营</w:t>
            </w:r>
            <w:r>
              <w:rPr>
                <w:rFonts w:ascii="宋体" w:hAnsi="宋体" w:cs="宋体"/>
                <w:sz w:val="18"/>
                <w:szCs w:val="18"/>
              </w:rPr>
              <w:t xml:space="preserve">       </w:t>
            </w:r>
            <w:r>
              <w:rPr>
                <w:rFonts w:hint="eastAsia" w:ascii="宋体" w:hAnsi="宋体" w:cs="宋体"/>
                <w:sz w:val="18"/>
                <w:szCs w:val="18"/>
              </w:rPr>
              <w:t>231</w:t>
            </w:r>
            <w:r>
              <w:rPr>
                <w:rFonts w:ascii="宋体" w:hAnsi="宋体" w:cs="宋体"/>
                <w:sz w:val="18"/>
                <w:szCs w:val="18"/>
              </w:rPr>
              <w:t xml:space="preserve">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w:t>
            </w:r>
            <w:r>
              <w:rPr>
                <w:rFonts w:hint="eastAsia" w:ascii="宋体" w:hAnsi="宋体" w:cs="宋体"/>
                <w:snapToGrid w:val="0"/>
                <w:kern w:val="0"/>
                <w:sz w:val="18"/>
                <w:szCs w:val="18"/>
              </w:rPr>
              <w:t>242</w:t>
            </w:r>
            <w:r>
              <w:rPr>
                <w:rFonts w:ascii="宋体" w:hAnsi="宋体" w:cs="宋体"/>
                <w:snapToGrid w:val="0"/>
                <w:kern w:val="0"/>
                <w:sz w:val="18"/>
                <w:szCs w:val="18"/>
              </w:rPr>
              <w:t xml:space="preserve">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w:t>
            </w:r>
            <w:r>
              <w:rPr>
                <w:rFonts w:hint="eastAsia" w:ascii="宋体" w:hAnsi="宋体" w:cs="宋体"/>
                <w:snapToGrid w:val="0"/>
                <w:kern w:val="0"/>
                <w:sz w:val="18"/>
                <w:szCs w:val="18"/>
              </w:rPr>
              <w:t>247</w:t>
            </w:r>
            <w:r>
              <w:rPr>
                <w:rFonts w:ascii="宋体" w:hAnsi="宋体" w:cs="宋体"/>
                <w:snapToGrid w:val="0"/>
                <w:kern w:val="0"/>
                <w:sz w:val="18"/>
                <w:szCs w:val="18"/>
              </w:rPr>
              <w:t xml:space="preserve">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hint="eastAsia" w:ascii="宋体" w:hAnsi="宋体" w:cs="宋体"/>
                <w:sz w:val="18"/>
                <w:szCs w:val="18"/>
              </w:rPr>
              <w:t>232</w:t>
            </w:r>
            <w:r>
              <w:rPr>
                <w:rFonts w:ascii="宋体" w:hAnsi="宋体" w:cs="宋体"/>
                <w:sz w:val="18"/>
                <w:szCs w:val="18"/>
              </w:rPr>
              <w:t xml:space="preserve"> </w:t>
            </w:r>
            <w:r>
              <w:rPr>
                <w:rFonts w:hint="eastAsia" w:ascii="宋体" w:hAnsi="宋体" w:cs="宋体"/>
                <w:sz w:val="18"/>
                <w:szCs w:val="18"/>
              </w:rPr>
              <w:t>集体联营</w:t>
            </w:r>
            <w:r>
              <w:rPr>
                <w:rFonts w:ascii="宋体" w:hAnsi="宋体" w:cs="宋体"/>
                <w:sz w:val="18"/>
                <w:szCs w:val="18"/>
              </w:rPr>
              <w:t xml:space="preserve">       </w:t>
            </w:r>
            <w:r>
              <w:rPr>
                <w:rFonts w:hint="eastAsia" w:ascii="宋体" w:hAnsi="宋体" w:cs="宋体"/>
                <w:sz w:val="18"/>
                <w:szCs w:val="18"/>
              </w:rPr>
              <w:t>233</w:t>
            </w:r>
            <w:r>
              <w:rPr>
                <w:rFonts w:ascii="宋体" w:hAnsi="宋体" w:cs="宋体"/>
                <w:sz w:val="18"/>
                <w:szCs w:val="18"/>
              </w:rPr>
              <w:t xml:space="preserve"> </w:t>
            </w:r>
            <w:r>
              <w:rPr>
                <w:rFonts w:hint="eastAsia" w:ascii="宋体" w:hAnsi="宋体" w:cs="宋体"/>
                <w:sz w:val="18"/>
                <w:szCs w:val="18"/>
              </w:rPr>
              <w:t>私营有限责任公司</w:t>
            </w:r>
            <w:r>
              <w:rPr>
                <w:rFonts w:ascii="宋体" w:hAnsi="宋体" w:cs="宋体"/>
                <w:sz w:val="18"/>
                <w:szCs w:val="18"/>
              </w:rPr>
              <w:t xml:space="preserve">   </w:t>
            </w:r>
            <w:r>
              <w:rPr>
                <w:rFonts w:hint="eastAsia" w:ascii="宋体" w:hAnsi="宋体" w:cs="宋体"/>
                <w:sz w:val="18"/>
                <w:szCs w:val="18"/>
              </w:rPr>
              <w:t>243</w:t>
            </w:r>
            <w:r>
              <w:rPr>
                <w:rFonts w:ascii="宋体" w:hAnsi="宋体" w:cs="宋体"/>
                <w:sz w:val="18"/>
                <w:szCs w:val="18"/>
              </w:rPr>
              <w:t xml:space="preserve"> </w:t>
            </w:r>
            <w:r>
              <w:rPr>
                <w:rFonts w:hint="eastAsia" w:ascii="宋体" w:hAnsi="宋体" w:cs="宋体"/>
                <w:sz w:val="18"/>
                <w:szCs w:val="18"/>
              </w:rPr>
              <w:t>其他港澳台投资</w:t>
            </w:r>
            <w:r>
              <w:rPr>
                <w:rFonts w:ascii="宋体" w:hAnsi="宋体" w:cs="宋体"/>
                <w:sz w:val="18"/>
                <w:szCs w:val="18"/>
              </w:rPr>
              <w:t xml:space="preserve">            </w:t>
            </w:r>
            <w:r>
              <w:rPr>
                <w:rFonts w:hint="eastAsia" w:ascii="宋体" w:hAnsi="宋体" w:cs="宋体"/>
                <w:sz w:val="18"/>
                <w:szCs w:val="18"/>
              </w:rPr>
              <w:t>248</w:t>
            </w:r>
            <w:r>
              <w:rPr>
                <w:rFonts w:ascii="宋体" w:hAnsi="宋体" w:cs="宋体"/>
                <w:sz w:val="18"/>
                <w:szCs w:val="18"/>
              </w:rPr>
              <w:t xml:space="preserve">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hint="eastAsia" w:ascii="宋体" w:hAnsi="宋体" w:cs="宋体"/>
                <w:sz w:val="18"/>
                <w:szCs w:val="18"/>
              </w:rPr>
              <w:t>234</w:t>
            </w:r>
            <w:r>
              <w:rPr>
                <w:rFonts w:ascii="宋体" w:hAnsi="宋体" w:cs="宋体"/>
                <w:sz w:val="18"/>
                <w:szCs w:val="18"/>
              </w:rPr>
              <w:t xml:space="preserve"> </w:t>
            </w:r>
            <w:r>
              <w:rPr>
                <w:rFonts w:hint="eastAsia" w:ascii="宋体" w:hAnsi="宋体" w:cs="宋体"/>
                <w:sz w:val="18"/>
                <w:szCs w:val="18"/>
              </w:rPr>
              <w:t>国有与集体联营</w:t>
            </w:r>
            <w:r>
              <w:rPr>
                <w:rFonts w:ascii="宋体" w:hAnsi="宋体" w:cs="宋体"/>
                <w:sz w:val="18"/>
                <w:szCs w:val="18"/>
              </w:rPr>
              <w:t xml:space="preserve"> </w:t>
            </w:r>
            <w:r>
              <w:rPr>
                <w:rFonts w:hint="eastAsia" w:ascii="宋体" w:hAnsi="宋体" w:cs="宋体"/>
                <w:sz w:val="18"/>
                <w:szCs w:val="18"/>
              </w:rPr>
              <w:t>235</w:t>
            </w:r>
            <w:r>
              <w:rPr>
                <w:rFonts w:ascii="宋体" w:hAnsi="宋体" w:cs="宋体"/>
                <w:sz w:val="18"/>
                <w:szCs w:val="18"/>
              </w:rPr>
              <w:t xml:space="preserve">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hint="eastAsia" w:ascii="宋体" w:hAnsi="宋体" w:cs="宋体"/>
                <w:sz w:val="18"/>
                <w:szCs w:val="18"/>
              </w:rPr>
              <w:t>236</w:t>
            </w:r>
            <w:r>
              <w:rPr>
                <w:rFonts w:ascii="宋体" w:hAnsi="宋体" w:cs="宋体"/>
                <w:sz w:val="18"/>
                <w:szCs w:val="18"/>
              </w:rPr>
              <w:t xml:space="preserve"> </w:t>
            </w:r>
            <w:r>
              <w:rPr>
                <w:rFonts w:hint="eastAsia" w:ascii="宋体" w:hAnsi="宋体" w:cs="宋体"/>
                <w:sz w:val="18"/>
                <w:szCs w:val="18"/>
              </w:rPr>
              <w:t>其他联营</w:t>
            </w:r>
            <w:r>
              <w:rPr>
                <w:rFonts w:ascii="宋体" w:hAnsi="宋体" w:cs="宋体"/>
                <w:sz w:val="18"/>
                <w:szCs w:val="18"/>
              </w:rPr>
              <w:t xml:space="preserve">       </w:t>
            </w:r>
            <w:r>
              <w:rPr>
                <w:rFonts w:hint="eastAsia" w:ascii="宋体" w:hAnsi="宋体" w:cs="宋体"/>
                <w:sz w:val="18"/>
                <w:szCs w:val="18"/>
              </w:rPr>
              <w:t>237</w:t>
            </w:r>
            <w:r>
              <w:rPr>
                <w:rFonts w:ascii="宋体" w:hAnsi="宋体" w:cs="宋体"/>
                <w:sz w:val="18"/>
                <w:szCs w:val="18"/>
              </w:rPr>
              <w:t xml:space="preserve"> </w:t>
            </w:r>
            <w:r>
              <w:rPr>
                <w:rFonts w:hint="eastAsia" w:ascii="宋体" w:hAnsi="宋体" w:cs="宋体"/>
                <w:sz w:val="18"/>
                <w:szCs w:val="18"/>
              </w:rPr>
              <w:t>其他</w:t>
            </w:r>
          </w:p>
          <w:p>
            <w:pPr>
              <w:widowControl/>
              <w:spacing w:line="200" w:lineRule="exact"/>
              <w:rPr>
                <w:rFonts w:ascii="宋体" w:hAnsi="宋体" w:cs="宋体"/>
                <w:sz w:val="18"/>
                <w:szCs w:val="18"/>
              </w:rPr>
            </w:pPr>
            <w:r>
              <w:rPr>
                <w:rFonts w:hint="eastAsia" w:ascii="宋体" w:hAnsi="宋体" w:cs="宋体"/>
                <w:sz w:val="18"/>
                <w:szCs w:val="18"/>
              </w:rPr>
              <w:t xml:space="preserve">  238</w:t>
            </w:r>
            <w:r>
              <w:rPr>
                <w:rFonts w:ascii="宋体" w:hAnsi="宋体" w:cs="宋体"/>
                <w:sz w:val="18"/>
                <w:szCs w:val="18"/>
              </w:rPr>
              <w:t xml:space="preserve"> </w:t>
            </w:r>
            <w:r>
              <w:rPr>
                <w:rFonts w:hint="eastAsia" w:ascii="宋体" w:hAnsi="宋体" w:cs="宋体"/>
                <w:sz w:val="18"/>
                <w:szCs w:val="18"/>
              </w:rPr>
              <w:t>国有独资公司</w:t>
            </w:r>
          </w:p>
          <w:p>
            <w:pPr>
              <w:widowControl/>
              <w:spacing w:line="200" w:lineRule="exact"/>
              <w:rPr>
                <w:rFonts w:ascii="宋体" w:hAnsi="宋体" w:cs="宋体"/>
                <w:sz w:val="10"/>
                <w:szCs w:val="10"/>
              </w:rPr>
            </w:pPr>
          </w:p>
        </w:tc>
      </w:tr>
    </w:tbl>
    <w:p>
      <w:pPr>
        <w:jc w:val="left"/>
        <w:rPr>
          <w:sz w:val="18"/>
          <w:szCs w:val="18"/>
        </w:rPr>
      </w:pPr>
      <w:r>
        <w:rPr>
          <w:rFonts w:hint="eastAsia" w:ascii="宋体" w:hAnsi="宋体"/>
          <w:sz w:val="18"/>
          <w:szCs w:val="18"/>
        </w:rPr>
        <w:t>单位负责人：         统计负责人：        填表人：      联系电话：      报出日期：20  年  月  日</w:t>
      </w:r>
    </w:p>
    <w:p>
      <w:pPr>
        <w:rPr>
          <w:sz w:val="32"/>
          <w:szCs w:val="32"/>
        </w:rPr>
      </w:pPr>
      <w:r>
        <w:rPr>
          <w:sz w:val="18"/>
          <w:szCs w:val="18"/>
        </w:rPr>
        <w:t>注：企业登记注册类型、</w:t>
      </w:r>
      <w:r>
        <w:rPr>
          <w:rFonts w:hint="eastAsia"/>
          <w:sz w:val="18"/>
          <w:szCs w:val="18"/>
        </w:rPr>
        <w:t>企业类型、</w:t>
      </w:r>
      <w:r>
        <w:rPr>
          <w:sz w:val="18"/>
          <w:szCs w:val="18"/>
        </w:rPr>
        <w:t>主要设备和主要产品生产能力参照第四</w:t>
      </w:r>
      <w:r>
        <w:rPr>
          <w:rFonts w:hint="eastAsia"/>
          <w:sz w:val="18"/>
          <w:szCs w:val="18"/>
        </w:rPr>
        <w:t>部分“</w:t>
      </w:r>
      <w:r>
        <w:rPr>
          <w:sz w:val="18"/>
          <w:szCs w:val="18"/>
        </w:rPr>
        <w:t>主要指标解释</w:t>
      </w:r>
      <w:r>
        <w:rPr>
          <w:rFonts w:hint="eastAsia"/>
          <w:sz w:val="18"/>
          <w:szCs w:val="18"/>
        </w:rPr>
        <w:t>”</w:t>
      </w:r>
      <w:r>
        <w:rPr>
          <w:sz w:val="18"/>
          <w:szCs w:val="18"/>
        </w:rPr>
        <w:t>填写。</w:t>
      </w:r>
    </w:p>
    <w:p>
      <w:pPr>
        <w:jc w:val="center"/>
        <w:rPr>
          <w:sz w:val="32"/>
          <w:szCs w:val="32"/>
        </w:rPr>
      </w:pPr>
      <w:r>
        <w:rPr>
          <w:sz w:val="32"/>
          <w:szCs w:val="32"/>
        </w:rPr>
        <w:t>茧丝绸</w:t>
      </w:r>
      <w:r>
        <w:rPr>
          <w:rFonts w:hint="eastAsia"/>
          <w:sz w:val="32"/>
          <w:szCs w:val="32"/>
        </w:rPr>
        <w:t>生产类</w:t>
      </w:r>
      <w:r>
        <w:rPr>
          <w:sz w:val="32"/>
          <w:szCs w:val="32"/>
        </w:rPr>
        <w:t>企业主要经济指标月报表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企业</w:t>
      </w:r>
      <w:r>
        <w:rPr>
          <w:rFonts w:hint="eastAsia"/>
          <w:kern w:val="0"/>
          <w:sz w:val="18"/>
          <w:szCs w:val="18"/>
        </w:rPr>
        <w:t>2</w:t>
      </w:r>
      <w:r>
        <w:rPr>
          <w:kern w:val="0"/>
          <w:sz w:val="18"/>
          <w:szCs w:val="18"/>
        </w:rPr>
        <w:t>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jc w:val="left"/>
        <w:rPr>
          <w:sz w:val="18"/>
          <w:szCs w:val="18"/>
        </w:rPr>
      </w:pPr>
      <w:r>
        <w:rPr>
          <w:rFonts w:hint="eastAsia" w:ascii="宋体" w:hAnsi="宋体"/>
          <w:sz w:val="18"/>
          <w:szCs w:val="18"/>
        </w:rPr>
        <w:t xml:space="preserve">单位名称：                                                     </w:t>
      </w:r>
      <w:r>
        <w:rPr>
          <w:sz w:val="18"/>
          <w:szCs w:val="18"/>
        </w:rPr>
        <w:t>有效期至：2018年</w:t>
      </w:r>
      <w:r>
        <w:rPr>
          <w:rFonts w:hint="eastAsia"/>
          <w:sz w:val="18"/>
          <w:szCs w:val="18"/>
          <w:lang w:val="en-US" w:eastAsia="zh-CN"/>
        </w:rPr>
        <w:t>5</w:t>
      </w:r>
      <w:r>
        <w:rPr>
          <w:sz w:val="18"/>
          <w:szCs w:val="18"/>
        </w:rPr>
        <w:t>月</w:t>
      </w:r>
    </w:p>
    <w:p>
      <w:pPr>
        <w:jc w:val="center"/>
        <w:rPr>
          <w:sz w:val="18"/>
          <w:szCs w:val="18"/>
        </w:rPr>
      </w:pPr>
    </w:p>
    <w:p>
      <w:pPr>
        <w:jc w:val="center"/>
        <w:rPr>
          <w:rFonts w:ascii="宋体" w:hAnsi="宋体"/>
          <w:sz w:val="18"/>
          <w:szCs w:val="18"/>
        </w:rPr>
      </w:pPr>
      <w:r>
        <w:rPr>
          <w:sz w:val="18"/>
          <w:szCs w:val="18"/>
        </w:rPr>
        <w:t>20   年  月</w:t>
      </w:r>
    </w:p>
    <w:tbl>
      <w:tblPr>
        <w:tblStyle w:val="19"/>
        <w:tblW w:w="8344" w:type="dxa"/>
        <w:tblInd w:w="108" w:type="dxa"/>
        <w:tblLayout w:type="fixed"/>
        <w:tblCellMar>
          <w:top w:w="0" w:type="dxa"/>
          <w:left w:w="108" w:type="dxa"/>
          <w:bottom w:w="0" w:type="dxa"/>
          <w:right w:w="108" w:type="dxa"/>
        </w:tblCellMar>
      </w:tblPr>
      <w:tblGrid>
        <w:gridCol w:w="2882"/>
        <w:gridCol w:w="1067"/>
        <w:gridCol w:w="1276"/>
        <w:gridCol w:w="1276"/>
        <w:gridCol w:w="1843"/>
      </w:tblGrid>
      <w:tr>
        <w:tblPrEx>
          <w:tblLayout w:type="fixed"/>
          <w:tblCellMar>
            <w:top w:w="0" w:type="dxa"/>
            <w:left w:w="108" w:type="dxa"/>
            <w:bottom w:w="0" w:type="dxa"/>
            <w:right w:w="108" w:type="dxa"/>
          </w:tblCellMar>
        </w:tblPrEx>
        <w:trPr>
          <w:trHeight w:val="474" w:hRule="atLeast"/>
        </w:trPr>
        <w:tc>
          <w:tcPr>
            <w:tcW w:w="2882" w:type="dxa"/>
            <w:tcBorders>
              <w:top w:val="single" w:color="auto" w:sz="8"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指标名称</w:t>
            </w:r>
          </w:p>
        </w:tc>
        <w:tc>
          <w:tcPr>
            <w:tcW w:w="1067" w:type="dxa"/>
            <w:tcBorders>
              <w:top w:val="single" w:color="auto" w:sz="8"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p>
          <w:p>
            <w:pPr>
              <w:adjustRightInd w:val="0"/>
              <w:snapToGrid w:val="0"/>
              <w:spacing w:line="60" w:lineRule="atLeast"/>
              <w:jc w:val="center"/>
              <w:rPr>
                <w:sz w:val="18"/>
                <w:szCs w:val="18"/>
              </w:rPr>
            </w:pPr>
            <w:r>
              <w:rPr>
                <w:sz w:val="18"/>
                <w:szCs w:val="18"/>
              </w:rPr>
              <w:t>计量单位</w:t>
            </w:r>
          </w:p>
          <w:p>
            <w:pPr>
              <w:adjustRightInd w:val="0"/>
              <w:snapToGrid w:val="0"/>
              <w:spacing w:line="60" w:lineRule="atLeast"/>
              <w:jc w:val="center"/>
              <w:rPr>
                <w:sz w:val="18"/>
                <w:szCs w:val="18"/>
              </w:rPr>
            </w:pPr>
          </w:p>
        </w:tc>
        <w:tc>
          <w:tcPr>
            <w:tcW w:w="1276" w:type="dxa"/>
            <w:tcBorders>
              <w:top w:val="single" w:color="auto" w:sz="8"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代码</w:t>
            </w:r>
          </w:p>
        </w:tc>
        <w:tc>
          <w:tcPr>
            <w:tcW w:w="1276" w:type="dxa"/>
            <w:tcBorders>
              <w:top w:val="single" w:color="auto" w:sz="8"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sz w:val="18"/>
                <w:szCs w:val="18"/>
              </w:rPr>
              <w:t>本期</w:t>
            </w:r>
          </w:p>
        </w:tc>
        <w:tc>
          <w:tcPr>
            <w:tcW w:w="1843" w:type="dxa"/>
            <w:tcBorders>
              <w:top w:val="single" w:color="auto" w:sz="8" w:space="0"/>
              <w:left w:val="single" w:color="auto" w:sz="4" w:space="0"/>
              <w:bottom w:val="single" w:color="auto" w:sz="6" w:space="0"/>
            </w:tcBorders>
            <w:vAlign w:val="center"/>
          </w:tcPr>
          <w:p>
            <w:pPr>
              <w:adjustRightInd w:val="0"/>
              <w:snapToGrid w:val="0"/>
              <w:spacing w:line="60" w:lineRule="atLeast"/>
              <w:jc w:val="center"/>
              <w:rPr>
                <w:sz w:val="18"/>
                <w:szCs w:val="18"/>
              </w:rPr>
            </w:pPr>
            <w:r>
              <w:rPr>
                <w:sz w:val="18"/>
                <w:szCs w:val="18"/>
              </w:rPr>
              <w:t>本期累计</w:t>
            </w: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甲</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乙</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丙</w:t>
            </w: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1</w:t>
            </w: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jc w:val="center"/>
              <w:rPr>
                <w:sz w:val="18"/>
                <w:szCs w:val="18"/>
              </w:rPr>
            </w:pPr>
            <w:r>
              <w:rPr>
                <w:rFonts w:hint="eastAsia"/>
                <w:sz w:val="18"/>
                <w:szCs w:val="18"/>
              </w:rPr>
              <w:t>2</w:t>
            </w: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应收账款</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01</w:t>
            </w: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产成品</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02</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流动资产</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03</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资产总计</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04</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负债合计</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05</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主营业务收入</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06</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主营业务成本</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07</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营业费用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08</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主营业务税金及附加</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09</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管理费用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10</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财务费用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11</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ind w:firstLine="360" w:firstLineChars="200"/>
              <w:rPr>
                <w:sz w:val="18"/>
                <w:szCs w:val="18"/>
              </w:rPr>
            </w:pPr>
            <w:r>
              <w:rPr>
                <w:sz w:val="18"/>
                <w:szCs w:val="18"/>
              </w:rPr>
              <w:t>其中：利息支出</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12</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ind w:firstLine="900" w:firstLineChars="500"/>
              <w:rPr>
                <w:sz w:val="18"/>
                <w:szCs w:val="18"/>
              </w:rPr>
            </w:pPr>
            <w:r>
              <w:rPr>
                <w:sz w:val="18"/>
                <w:szCs w:val="18"/>
              </w:rPr>
              <w:t>利息收入</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13</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利润总额（﹢、﹣）</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14</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应交增值税</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15</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8" w:space="0"/>
              <w:right w:val="single" w:color="auto" w:sz="6" w:space="0"/>
            </w:tcBorders>
            <w:vAlign w:val="center"/>
          </w:tcPr>
          <w:p>
            <w:pPr>
              <w:adjustRightInd w:val="0"/>
              <w:snapToGrid w:val="0"/>
              <w:spacing w:line="60" w:lineRule="atLeast"/>
              <w:rPr>
                <w:sz w:val="18"/>
                <w:szCs w:val="18"/>
              </w:rPr>
            </w:pPr>
            <w:r>
              <w:rPr>
                <w:sz w:val="18"/>
                <w:szCs w:val="18"/>
              </w:rPr>
              <w:t>从业人员期末人数</w:t>
            </w:r>
          </w:p>
        </w:tc>
        <w:tc>
          <w:tcPr>
            <w:tcW w:w="1067" w:type="dxa"/>
            <w:tcBorders>
              <w:top w:val="single" w:color="auto" w:sz="6" w:space="0"/>
              <w:left w:val="single" w:color="auto" w:sz="6" w:space="0"/>
              <w:bottom w:val="single" w:color="auto" w:sz="8" w:space="0"/>
              <w:right w:val="single" w:color="auto" w:sz="6" w:space="0"/>
            </w:tcBorders>
            <w:vAlign w:val="center"/>
          </w:tcPr>
          <w:p>
            <w:pPr>
              <w:adjustRightInd w:val="0"/>
              <w:snapToGrid w:val="0"/>
              <w:spacing w:line="60" w:lineRule="atLeast"/>
              <w:jc w:val="center"/>
              <w:rPr>
                <w:sz w:val="18"/>
                <w:szCs w:val="18"/>
              </w:rPr>
            </w:pPr>
            <w:r>
              <w:rPr>
                <w:sz w:val="18"/>
                <w:szCs w:val="18"/>
              </w:rPr>
              <w:t>人</w:t>
            </w:r>
          </w:p>
        </w:tc>
        <w:tc>
          <w:tcPr>
            <w:tcW w:w="1276" w:type="dxa"/>
            <w:tcBorders>
              <w:top w:val="single" w:color="auto" w:sz="6" w:space="0"/>
              <w:left w:val="single" w:color="auto" w:sz="6" w:space="0"/>
              <w:bottom w:val="single" w:color="auto" w:sz="8"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16</w:t>
            </w:r>
          </w:p>
        </w:tc>
        <w:tc>
          <w:tcPr>
            <w:tcW w:w="1276" w:type="dxa"/>
            <w:tcBorders>
              <w:top w:val="single" w:color="auto" w:sz="6" w:space="0"/>
              <w:left w:val="single" w:color="auto" w:sz="6" w:space="0"/>
              <w:bottom w:val="single" w:color="auto" w:sz="8"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8" w:space="0"/>
            </w:tcBorders>
            <w:vAlign w:val="center"/>
          </w:tcPr>
          <w:p>
            <w:pPr>
              <w:adjustRightInd w:val="0"/>
              <w:snapToGrid w:val="0"/>
              <w:spacing w:line="60" w:lineRule="atLeast"/>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adjustRightInd w:val="0"/>
        <w:snapToGrid w:val="0"/>
        <w:spacing w:line="60" w:lineRule="atLeast"/>
        <w:rPr>
          <w:sz w:val="18"/>
          <w:szCs w:val="18"/>
        </w:rPr>
      </w:pPr>
    </w:p>
    <w:p>
      <w:pPr>
        <w:adjustRightInd w:val="0"/>
        <w:snapToGrid w:val="0"/>
        <w:spacing w:line="60" w:lineRule="atLeast"/>
        <w:ind w:left="900" w:hanging="900" w:hangingChars="500"/>
        <w:rPr>
          <w:sz w:val="18"/>
          <w:szCs w:val="18"/>
        </w:rPr>
      </w:pPr>
      <w:r>
        <w:rPr>
          <w:sz w:val="18"/>
          <w:szCs w:val="18"/>
        </w:rPr>
        <w:t>填报说明：执行2006年会计准则的企业，“主营业务收入”、“主营业务成本”、“主营业务税金及附加”分别用“营业收入”、“营业成本”、“营业税金及附加”代替，“营业费用”用“销售费用”代替。</w:t>
      </w:r>
    </w:p>
    <w:p>
      <w:pPr>
        <w:adjustRightInd w:val="0"/>
        <w:snapToGrid w:val="0"/>
        <w:spacing w:line="60" w:lineRule="atLeast"/>
        <w:rPr>
          <w:rFonts w:eastAsia="仿宋_GB2312"/>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60" w:lineRule="atLeast"/>
        <w:jc w:val="center"/>
        <w:rPr>
          <w:sz w:val="32"/>
          <w:szCs w:val="32"/>
        </w:rPr>
      </w:pPr>
      <w:bookmarkStart w:id="7" w:name="_Toc438208247"/>
      <w:bookmarkStart w:id="8" w:name="_Toc13321"/>
      <w:r>
        <w:rPr>
          <w:sz w:val="32"/>
          <w:szCs w:val="32"/>
        </w:rPr>
        <w:t>丝绸营销</w:t>
      </w:r>
      <w:r>
        <w:rPr>
          <w:rFonts w:hint="eastAsia"/>
          <w:sz w:val="32"/>
          <w:szCs w:val="32"/>
        </w:rPr>
        <w:t>类</w:t>
      </w:r>
      <w:r>
        <w:rPr>
          <w:sz w:val="32"/>
          <w:szCs w:val="32"/>
        </w:rPr>
        <w:t>企业主要经济指标半年（年）报表</w:t>
      </w:r>
      <w:bookmarkEnd w:id="7"/>
      <w:bookmarkEnd w:id="8"/>
    </w:p>
    <w:p>
      <w:pPr>
        <w:widowControl/>
        <w:snapToGrid w:val="0"/>
        <w:jc w:val="center"/>
        <w:rPr>
          <w:b/>
          <w:bCs/>
          <w:kern w:val="0"/>
          <w:sz w:val="32"/>
          <w:szCs w:val="32"/>
        </w:rPr>
      </w:pPr>
      <w:r>
        <w:rPr>
          <w:b/>
          <w:bCs/>
          <w:kern w:val="0"/>
          <w:sz w:val="32"/>
          <w:szCs w:val="32"/>
        </w:rPr>
        <w:t xml:space="preserve"> </w:t>
      </w:r>
    </w:p>
    <w:p>
      <w:pPr>
        <w:adjustRightInd w:val="0"/>
        <w:snapToGrid w:val="0"/>
        <w:spacing w:line="60" w:lineRule="atLeast"/>
        <w:ind w:left="720"/>
        <w:rPr>
          <w:sz w:val="18"/>
          <w:szCs w:val="18"/>
        </w:rPr>
      </w:pPr>
      <w:r>
        <w:t xml:space="preserve">                                               </w:t>
      </w:r>
      <w:r>
        <w:rPr>
          <w:sz w:val="18"/>
          <w:szCs w:val="18"/>
        </w:rPr>
        <w:t>表    号：</w:t>
      </w:r>
      <w:r>
        <w:rPr>
          <w:rFonts w:hint="eastAsia"/>
          <w:kern w:val="0"/>
          <w:sz w:val="18"/>
          <w:szCs w:val="18"/>
        </w:rPr>
        <w:t>企业3</w:t>
      </w:r>
      <w:r>
        <w:rPr>
          <w:kern w:val="0"/>
          <w:sz w:val="18"/>
          <w:szCs w:val="18"/>
        </w:rPr>
        <w:t>表</w:t>
      </w:r>
    </w:p>
    <w:p>
      <w:pPr>
        <w:adjustRightInd w:val="0"/>
        <w:snapToGrid w:val="0"/>
        <w:spacing w:line="60" w:lineRule="atLeast"/>
        <w:ind w:left="720"/>
        <w:rPr>
          <w:sz w:val="18"/>
          <w:szCs w:val="18"/>
        </w:rPr>
      </w:pPr>
      <w:r>
        <w:rPr>
          <w:sz w:val="18"/>
          <w:szCs w:val="18"/>
        </w:rPr>
        <w:t xml:space="preserve">                                                       制表机关：商务部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批准机关：国家统计局</w:t>
      </w:r>
    </w:p>
    <w:p>
      <w:pPr>
        <w:adjustRightInd w:val="0"/>
        <w:snapToGrid w:val="0"/>
        <w:spacing w:line="60" w:lineRule="atLeast"/>
        <w:rPr>
          <w:sz w:val="18"/>
          <w:szCs w:val="18"/>
        </w:rPr>
      </w:pPr>
      <w:r>
        <w:rPr>
          <w:rFonts w:hint="eastAsia" w:ascii="宋体" w:hAnsi="宋体"/>
          <w:sz w:val="18"/>
          <w:szCs w:val="18"/>
        </w:rPr>
        <w:t>统一社会信用代码 ：口口口口口口口口口口口口口口口口口口</w:t>
      </w:r>
      <w:r>
        <w:rPr>
          <w:sz w:val="18"/>
          <w:szCs w:val="18"/>
        </w:rPr>
        <w:t xml:space="preserve">        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rPr>
          <w:sz w:val="18"/>
          <w:szCs w:val="18"/>
        </w:rPr>
      </w:pPr>
    </w:p>
    <w:p>
      <w:pPr>
        <w:jc w:val="center"/>
        <w:rPr>
          <w:rFonts w:ascii="宋体" w:hAnsi="宋体"/>
          <w:sz w:val="18"/>
          <w:szCs w:val="18"/>
        </w:rPr>
      </w:pPr>
      <w:r>
        <w:rPr>
          <w:sz w:val="18"/>
          <w:szCs w:val="18"/>
        </w:rPr>
        <w:t>20    年（半年）</w:t>
      </w:r>
    </w:p>
    <w:tbl>
      <w:tblPr>
        <w:tblStyle w:val="19"/>
        <w:tblW w:w="8431" w:type="dxa"/>
        <w:tblInd w:w="0" w:type="dxa"/>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3"/>
        <w:gridCol w:w="1137"/>
        <w:gridCol w:w="880"/>
        <w:gridCol w:w="2096"/>
        <w:gridCol w:w="1165"/>
      </w:tblGrid>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auto" w:sz="8" w:space="0"/>
              <w:left w:val="nil"/>
            </w:tcBorders>
            <w:vAlign w:val="center"/>
          </w:tcPr>
          <w:p>
            <w:pPr>
              <w:jc w:val="center"/>
              <w:rPr>
                <w:sz w:val="18"/>
                <w:szCs w:val="18"/>
              </w:rPr>
            </w:pPr>
            <w:r>
              <w:rPr>
                <w:sz w:val="18"/>
                <w:szCs w:val="18"/>
              </w:rPr>
              <w:t>指标名称</w:t>
            </w:r>
          </w:p>
        </w:tc>
        <w:tc>
          <w:tcPr>
            <w:tcW w:w="1137" w:type="dxa"/>
            <w:tcBorders>
              <w:top w:val="single" w:color="auto" w:sz="8" w:space="0"/>
            </w:tcBorders>
            <w:vAlign w:val="center"/>
          </w:tcPr>
          <w:p>
            <w:pPr>
              <w:jc w:val="center"/>
              <w:rPr>
                <w:sz w:val="18"/>
                <w:szCs w:val="18"/>
              </w:rPr>
            </w:pPr>
            <w:r>
              <w:rPr>
                <w:sz w:val="18"/>
                <w:szCs w:val="18"/>
              </w:rPr>
              <w:t>计量单位</w:t>
            </w:r>
          </w:p>
        </w:tc>
        <w:tc>
          <w:tcPr>
            <w:tcW w:w="880" w:type="dxa"/>
            <w:tcBorders>
              <w:top w:val="single" w:color="auto" w:sz="8" w:space="0"/>
            </w:tcBorders>
            <w:vAlign w:val="center"/>
          </w:tcPr>
          <w:p>
            <w:pPr>
              <w:jc w:val="center"/>
              <w:rPr>
                <w:sz w:val="18"/>
                <w:szCs w:val="18"/>
              </w:rPr>
            </w:pPr>
            <w:r>
              <w:rPr>
                <w:sz w:val="18"/>
                <w:szCs w:val="18"/>
              </w:rPr>
              <w:t>代码</w:t>
            </w:r>
          </w:p>
        </w:tc>
        <w:tc>
          <w:tcPr>
            <w:tcW w:w="2096" w:type="dxa"/>
            <w:tcBorders>
              <w:top w:val="single" w:color="auto" w:sz="8" w:space="0"/>
            </w:tcBorders>
            <w:vAlign w:val="center"/>
          </w:tcPr>
          <w:p>
            <w:pPr>
              <w:jc w:val="center"/>
              <w:rPr>
                <w:sz w:val="18"/>
                <w:szCs w:val="18"/>
              </w:rPr>
            </w:pPr>
            <w:r>
              <w:rPr>
                <w:sz w:val="18"/>
                <w:szCs w:val="18"/>
              </w:rPr>
              <w:t>本期累计</w:t>
            </w:r>
          </w:p>
        </w:tc>
        <w:tc>
          <w:tcPr>
            <w:tcW w:w="1165" w:type="dxa"/>
            <w:tcBorders>
              <w:top w:val="single" w:color="auto" w:sz="8" w:space="0"/>
              <w:right w:val="nil"/>
            </w:tcBorders>
            <w:vAlign w:val="center"/>
          </w:tcPr>
          <w:p>
            <w:pPr>
              <w:jc w:val="center"/>
              <w:rPr>
                <w:sz w:val="18"/>
                <w:szCs w:val="18"/>
              </w:rPr>
            </w:pPr>
            <w:r>
              <w:rPr>
                <w:sz w:val="18"/>
                <w:szCs w:val="18"/>
              </w:rPr>
              <w:t>上年同期</w:t>
            </w: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jc w:val="center"/>
              <w:rPr>
                <w:sz w:val="18"/>
                <w:szCs w:val="18"/>
              </w:rPr>
            </w:pPr>
            <w:r>
              <w:rPr>
                <w:rFonts w:hint="eastAsia"/>
                <w:sz w:val="18"/>
                <w:szCs w:val="18"/>
              </w:rPr>
              <w:t>甲</w:t>
            </w:r>
          </w:p>
        </w:tc>
        <w:tc>
          <w:tcPr>
            <w:tcW w:w="1137" w:type="dxa"/>
            <w:tcBorders>
              <w:top w:val="single" w:color="000000" w:sz="6" w:space="0"/>
              <w:bottom w:val="single" w:color="000000" w:sz="6" w:space="0"/>
            </w:tcBorders>
            <w:vAlign w:val="center"/>
          </w:tcPr>
          <w:p>
            <w:pPr>
              <w:jc w:val="center"/>
              <w:rPr>
                <w:sz w:val="18"/>
                <w:szCs w:val="18"/>
              </w:rPr>
            </w:pPr>
            <w:r>
              <w:rPr>
                <w:rFonts w:hint="eastAsia"/>
                <w:sz w:val="18"/>
                <w:szCs w:val="18"/>
              </w:rPr>
              <w:t>乙</w:t>
            </w:r>
          </w:p>
        </w:tc>
        <w:tc>
          <w:tcPr>
            <w:tcW w:w="880" w:type="dxa"/>
            <w:tcBorders>
              <w:top w:val="single" w:color="000000" w:sz="6" w:space="0"/>
              <w:bottom w:val="single" w:color="000000" w:sz="6" w:space="0"/>
            </w:tcBorders>
            <w:vAlign w:val="center"/>
          </w:tcPr>
          <w:p>
            <w:pPr>
              <w:jc w:val="center"/>
              <w:rPr>
                <w:sz w:val="18"/>
                <w:szCs w:val="18"/>
              </w:rPr>
            </w:pPr>
            <w:r>
              <w:rPr>
                <w:rFonts w:hint="eastAsia"/>
                <w:sz w:val="18"/>
                <w:szCs w:val="18"/>
              </w:rPr>
              <w:t>丙</w:t>
            </w:r>
          </w:p>
        </w:tc>
        <w:tc>
          <w:tcPr>
            <w:tcW w:w="2096" w:type="dxa"/>
            <w:tcBorders>
              <w:top w:val="single" w:color="000000" w:sz="6" w:space="0"/>
              <w:bottom w:val="single" w:color="000000" w:sz="6" w:space="0"/>
            </w:tcBorders>
            <w:vAlign w:val="center"/>
          </w:tcPr>
          <w:p>
            <w:pPr>
              <w:jc w:val="center"/>
              <w:rPr>
                <w:sz w:val="18"/>
                <w:szCs w:val="18"/>
              </w:rPr>
            </w:pPr>
            <w:r>
              <w:rPr>
                <w:rFonts w:hint="eastAsia"/>
                <w:sz w:val="18"/>
                <w:szCs w:val="18"/>
              </w:rPr>
              <w:t>1</w:t>
            </w:r>
          </w:p>
        </w:tc>
        <w:tc>
          <w:tcPr>
            <w:tcW w:w="1165" w:type="dxa"/>
            <w:tcBorders>
              <w:top w:val="single" w:color="000000" w:sz="6" w:space="0"/>
              <w:bottom w:val="single" w:color="000000" w:sz="6" w:space="0"/>
              <w:right w:val="nil"/>
            </w:tcBorders>
            <w:vAlign w:val="center"/>
          </w:tcPr>
          <w:p>
            <w:pPr>
              <w:jc w:val="center"/>
              <w:rPr>
                <w:sz w:val="18"/>
                <w:szCs w:val="18"/>
              </w:rPr>
            </w:pPr>
            <w:r>
              <w:rPr>
                <w:rFonts w:hint="eastAsia"/>
                <w:sz w:val="18"/>
                <w:szCs w:val="18"/>
              </w:rPr>
              <w:t>2</w:t>
            </w: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商品销售总额</w:t>
            </w:r>
          </w:p>
        </w:tc>
        <w:tc>
          <w:tcPr>
            <w:tcW w:w="1137" w:type="dxa"/>
            <w:tcBorders>
              <w:top w:val="single" w:color="000000" w:sz="6" w:space="0"/>
              <w:bottom w:val="single" w:color="000000" w:sz="6" w:space="0"/>
            </w:tcBorders>
            <w:vAlign w:val="center"/>
          </w:tcPr>
          <w:p>
            <w:pPr>
              <w:jc w:val="center"/>
              <w:rPr>
                <w:sz w:val="18"/>
                <w:szCs w:val="18"/>
              </w:rPr>
            </w:pPr>
            <w:r>
              <w:rPr>
                <w:rFonts w:hint="eastAsia"/>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01</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 xml:space="preserve">    其中：</w:t>
            </w:r>
            <w:r>
              <w:rPr>
                <w:sz w:val="18"/>
                <w:szCs w:val="18"/>
              </w:rPr>
              <w:t>内销</w:t>
            </w:r>
            <w:r>
              <w:rPr>
                <w:rFonts w:hint="eastAsia"/>
                <w:sz w:val="18"/>
                <w:szCs w:val="18"/>
              </w:rPr>
              <w:t>额</w:t>
            </w:r>
          </w:p>
        </w:tc>
        <w:tc>
          <w:tcPr>
            <w:tcW w:w="1137" w:type="dxa"/>
            <w:tcBorders>
              <w:top w:val="single" w:color="000000" w:sz="6" w:space="0"/>
              <w:bottom w:val="single" w:color="000000" w:sz="6" w:space="0"/>
            </w:tcBorders>
            <w:vAlign w:val="center"/>
          </w:tcPr>
          <w:p>
            <w:pPr>
              <w:jc w:val="center"/>
              <w:rPr>
                <w:sz w:val="18"/>
                <w:szCs w:val="18"/>
              </w:rPr>
            </w:pPr>
            <w:r>
              <w:rPr>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02</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 xml:space="preserve">          </w:t>
            </w:r>
            <w:r>
              <w:rPr>
                <w:sz w:val="18"/>
                <w:szCs w:val="18"/>
              </w:rPr>
              <w:t>出口</w:t>
            </w:r>
            <w:r>
              <w:rPr>
                <w:rFonts w:hint="eastAsia"/>
                <w:sz w:val="18"/>
                <w:szCs w:val="18"/>
              </w:rPr>
              <w:t>额</w:t>
            </w:r>
          </w:p>
        </w:tc>
        <w:tc>
          <w:tcPr>
            <w:tcW w:w="1137" w:type="dxa"/>
            <w:tcBorders>
              <w:top w:val="single" w:color="000000" w:sz="6" w:space="0"/>
              <w:bottom w:val="single" w:color="000000" w:sz="6" w:space="0"/>
            </w:tcBorders>
            <w:vAlign w:val="center"/>
          </w:tcPr>
          <w:p>
            <w:pPr>
              <w:jc w:val="center"/>
              <w:rPr>
                <w:sz w:val="18"/>
                <w:szCs w:val="18"/>
              </w:rPr>
            </w:pPr>
            <w:r>
              <w:rPr>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03</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top w:val="single" w:color="000000" w:sz="6" w:space="0"/>
              <w:left w:val="nil"/>
            </w:tcBorders>
            <w:vAlign w:val="center"/>
          </w:tcPr>
          <w:p>
            <w:pPr>
              <w:rPr>
                <w:sz w:val="18"/>
                <w:szCs w:val="18"/>
              </w:rPr>
            </w:pPr>
            <w:r>
              <w:rPr>
                <w:sz w:val="18"/>
                <w:szCs w:val="18"/>
              </w:rPr>
              <w:t>期末库存额</w:t>
            </w:r>
          </w:p>
        </w:tc>
        <w:tc>
          <w:tcPr>
            <w:tcW w:w="1137" w:type="dxa"/>
            <w:tcBorders>
              <w:top w:val="single" w:color="000000" w:sz="6" w:space="0"/>
            </w:tcBorders>
            <w:vAlign w:val="center"/>
          </w:tcPr>
          <w:p>
            <w:pPr>
              <w:jc w:val="center"/>
              <w:rPr>
                <w:sz w:val="18"/>
                <w:szCs w:val="18"/>
              </w:rPr>
            </w:pPr>
            <w:r>
              <w:rPr>
                <w:sz w:val="18"/>
                <w:szCs w:val="18"/>
              </w:rPr>
              <w:t>千元</w:t>
            </w:r>
          </w:p>
        </w:tc>
        <w:tc>
          <w:tcPr>
            <w:tcW w:w="880" w:type="dxa"/>
            <w:tcBorders>
              <w:top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04</w:t>
            </w:r>
          </w:p>
        </w:tc>
        <w:tc>
          <w:tcPr>
            <w:tcW w:w="2096" w:type="dxa"/>
            <w:tcBorders>
              <w:top w:val="single" w:color="000000" w:sz="6" w:space="0"/>
            </w:tcBorders>
            <w:vAlign w:val="center"/>
          </w:tcPr>
          <w:p>
            <w:pPr>
              <w:jc w:val="center"/>
              <w:rPr>
                <w:sz w:val="18"/>
                <w:szCs w:val="18"/>
              </w:rPr>
            </w:pPr>
          </w:p>
        </w:tc>
        <w:tc>
          <w:tcPr>
            <w:tcW w:w="1165" w:type="dxa"/>
            <w:tcBorders>
              <w:top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主营业务收入</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05</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其他业务收入</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06</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主营业务成本</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07</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主营业务税金及附加</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08</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主营业务利润</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09</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left w:val="nil"/>
            </w:tcBorders>
            <w:vAlign w:val="center"/>
          </w:tcPr>
          <w:p>
            <w:pPr>
              <w:rPr>
                <w:sz w:val="18"/>
                <w:szCs w:val="18"/>
              </w:rPr>
            </w:pPr>
            <w:r>
              <w:rPr>
                <w:sz w:val="18"/>
                <w:szCs w:val="18"/>
              </w:rPr>
              <w:t>营业费用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10</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管理费用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11</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财务费用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12</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营业利润</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13</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利润总额</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14</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应交所得税</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15</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left w:val="nil"/>
            </w:tcBorders>
            <w:vAlign w:val="center"/>
          </w:tcPr>
          <w:p>
            <w:pPr>
              <w:rPr>
                <w:sz w:val="18"/>
                <w:szCs w:val="18"/>
              </w:rPr>
            </w:pPr>
            <w:r>
              <w:rPr>
                <w:sz w:val="18"/>
                <w:szCs w:val="18"/>
              </w:rPr>
              <w:t>年末从业人员数</w:t>
            </w:r>
          </w:p>
        </w:tc>
        <w:tc>
          <w:tcPr>
            <w:tcW w:w="1137" w:type="dxa"/>
            <w:vAlign w:val="center"/>
          </w:tcPr>
          <w:p>
            <w:pPr>
              <w:jc w:val="center"/>
              <w:rPr>
                <w:sz w:val="18"/>
                <w:szCs w:val="18"/>
              </w:rPr>
            </w:pPr>
            <w:r>
              <w:rPr>
                <w:sz w:val="18"/>
                <w:szCs w:val="18"/>
              </w:rPr>
              <w:t>人</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16</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年末营业面积</w:t>
            </w:r>
          </w:p>
        </w:tc>
        <w:tc>
          <w:tcPr>
            <w:tcW w:w="1137" w:type="dxa"/>
            <w:vAlign w:val="center"/>
          </w:tcPr>
          <w:p>
            <w:pPr>
              <w:jc w:val="center"/>
              <w:rPr>
                <w:sz w:val="18"/>
                <w:szCs w:val="18"/>
              </w:rPr>
            </w:pPr>
            <w:r>
              <w:rPr>
                <w:sz w:val="18"/>
                <w:szCs w:val="18"/>
              </w:rPr>
              <w:t>平方米</w:t>
            </w:r>
          </w:p>
        </w:tc>
        <w:tc>
          <w:tcPr>
            <w:tcW w:w="880" w:type="dxa"/>
            <w:vAlign w:val="center"/>
          </w:tcPr>
          <w:p>
            <w:pPr>
              <w:jc w:val="center"/>
              <w:rPr>
                <w:sz w:val="18"/>
                <w:szCs w:val="18"/>
              </w:rPr>
            </w:pPr>
            <w:r>
              <w:rPr>
                <w:rFonts w:hint="eastAsia"/>
                <w:sz w:val="18"/>
                <w:szCs w:val="18"/>
              </w:rPr>
              <w:t>417</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经营品种</w:t>
            </w:r>
          </w:p>
        </w:tc>
        <w:tc>
          <w:tcPr>
            <w:tcW w:w="1137" w:type="dxa"/>
            <w:vAlign w:val="center"/>
          </w:tcPr>
          <w:p>
            <w:pPr>
              <w:jc w:val="center"/>
              <w:rPr>
                <w:sz w:val="18"/>
                <w:szCs w:val="18"/>
              </w:rPr>
            </w:pPr>
            <w:r>
              <w:rPr>
                <w:sz w:val="18"/>
                <w:szCs w:val="18"/>
              </w:rPr>
              <w:t>个</w:t>
            </w:r>
          </w:p>
        </w:tc>
        <w:tc>
          <w:tcPr>
            <w:tcW w:w="880" w:type="dxa"/>
            <w:vAlign w:val="center"/>
          </w:tcPr>
          <w:p>
            <w:pPr>
              <w:jc w:val="center"/>
              <w:rPr>
                <w:sz w:val="18"/>
                <w:szCs w:val="18"/>
              </w:rPr>
            </w:pPr>
            <w:r>
              <w:rPr>
                <w:rFonts w:hint="eastAsia"/>
                <w:sz w:val="18"/>
                <w:szCs w:val="18"/>
              </w:rPr>
              <w:t>418</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bottom w:val="single" w:color="auto" w:sz="8" w:space="0"/>
            </w:tcBorders>
            <w:vAlign w:val="center"/>
          </w:tcPr>
          <w:p>
            <w:pPr>
              <w:rPr>
                <w:sz w:val="18"/>
                <w:szCs w:val="18"/>
              </w:rPr>
            </w:pPr>
            <w:r>
              <w:rPr>
                <w:sz w:val="18"/>
                <w:szCs w:val="18"/>
              </w:rPr>
              <w:t>连锁经营门店（柜台）数</w:t>
            </w:r>
          </w:p>
          <w:p>
            <w:pPr>
              <w:rPr>
                <w:sz w:val="18"/>
                <w:szCs w:val="18"/>
              </w:rPr>
            </w:pPr>
            <w:r>
              <w:rPr>
                <w:sz w:val="18"/>
                <w:szCs w:val="18"/>
              </w:rPr>
              <w:t>其中：直营店（柜台）</w:t>
            </w:r>
          </w:p>
          <w:p>
            <w:pPr>
              <w:rPr>
                <w:sz w:val="18"/>
                <w:szCs w:val="18"/>
              </w:rPr>
            </w:pPr>
            <w:r>
              <w:rPr>
                <w:sz w:val="18"/>
                <w:szCs w:val="18"/>
              </w:rPr>
              <w:t xml:space="preserve">      加盟店（柜台）</w:t>
            </w:r>
          </w:p>
        </w:tc>
        <w:tc>
          <w:tcPr>
            <w:tcW w:w="1137" w:type="dxa"/>
            <w:tcBorders>
              <w:bottom w:val="single" w:color="auto" w:sz="8" w:space="0"/>
            </w:tcBorders>
            <w:vAlign w:val="center"/>
          </w:tcPr>
          <w:p>
            <w:pPr>
              <w:jc w:val="center"/>
              <w:rPr>
                <w:sz w:val="18"/>
                <w:szCs w:val="18"/>
              </w:rPr>
            </w:pPr>
            <w:r>
              <w:rPr>
                <w:sz w:val="18"/>
                <w:szCs w:val="18"/>
              </w:rPr>
              <w:t>个</w:t>
            </w:r>
          </w:p>
        </w:tc>
        <w:tc>
          <w:tcPr>
            <w:tcW w:w="880" w:type="dxa"/>
            <w:tcBorders>
              <w:bottom w:val="single" w:color="auto" w:sz="8" w:space="0"/>
            </w:tcBorders>
            <w:vAlign w:val="center"/>
          </w:tcPr>
          <w:p>
            <w:pPr>
              <w:jc w:val="center"/>
              <w:rPr>
                <w:sz w:val="18"/>
                <w:szCs w:val="18"/>
              </w:rPr>
            </w:pPr>
            <w:r>
              <w:rPr>
                <w:rFonts w:hint="eastAsia"/>
                <w:sz w:val="18"/>
                <w:szCs w:val="18"/>
              </w:rPr>
              <w:t>419</w:t>
            </w:r>
          </w:p>
        </w:tc>
        <w:tc>
          <w:tcPr>
            <w:tcW w:w="2096" w:type="dxa"/>
            <w:tcBorders>
              <w:bottom w:val="single" w:color="auto" w:sz="8" w:space="0"/>
            </w:tcBorders>
            <w:vAlign w:val="center"/>
          </w:tcPr>
          <w:p>
            <w:pPr>
              <w:jc w:val="center"/>
              <w:rPr>
                <w:sz w:val="18"/>
                <w:szCs w:val="18"/>
              </w:rPr>
            </w:pPr>
          </w:p>
        </w:tc>
        <w:tc>
          <w:tcPr>
            <w:tcW w:w="1165" w:type="dxa"/>
            <w:tcBorders>
              <w:bottom w:val="single" w:color="auto" w:sz="8" w:space="0"/>
              <w:right w:val="nil"/>
            </w:tcBorders>
            <w:vAlign w:val="center"/>
          </w:tcPr>
          <w:p>
            <w:pPr>
              <w:jc w:val="center"/>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spacing w:line="276" w:lineRule="auto"/>
        <w:rPr>
          <w:rFonts w:eastAsiaTheme="minorEastAsia"/>
        </w:rPr>
      </w:pPr>
    </w:p>
    <w:p>
      <w:pPr>
        <w:spacing w:line="60" w:lineRule="atLeast"/>
        <w:jc w:val="center"/>
        <w:rPr>
          <w:sz w:val="32"/>
          <w:szCs w:val="32"/>
        </w:rPr>
      </w:pPr>
      <w:r>
        <w:rPr>
          <w:sz w:val="32"/>
          <w:szCs w:val="32"/>
        </w:rPr>
        <w:t>全国茧丝绸行业市场监测旬报表</w:t>
      </w:r>
    </w:p>
    <w:p>
      <w:pPr>
        <w:adjustRightInd w:val="0"/>
        <w:snapToGrid w:val="0"/>
        <w:spacing w:line="60" w:lineRule="atLeast"/>
        <w:ind w:left="6499" w:leftChars="2709" w:hanging="810" w:hangingChars="450"/>
        <w:jc w:val="left"/>
        <w:rPr>
          <w:sz w:val="18"/>
          <w:szCs w:val="18"/>
        </w:rPr>
      </w:pPr>
    </w:p>
    <w:p>
      <w:pPr>
        <w:adjustRightInd w:val="0"/>
        <w:snapToGrid w:val="0"/>
        <w:spacing w:line="60" w:lineRule="atLeast"/>
        <w:ind w:left="6499" w:leftChars="2709" w:hanging="810" w:hangingChars="450"/>
        <w:jc w:val="left"/>
        <w:rPr>
          <w:sz w:val="18"/>
          <w:szCs w:val="18"/>
        </w:rPr>
      </w:pPr>
      <w:r>
        <w:rPr>
          <w:sz w:val="18"/>
          <w:szCs w:val="18"/>
        </w:rPr>
        <w:t>表    号：</w:t>
      </w:r>
      <w:r>
        <w:rPr>
          <w:kern w:val="0"/>
          <w:sz w:val="18"/>
          <w:szCs w:val="18"/>
        </w:rPr>
        <w:t>产品1表</w:t>
      </w:r>
    </w:p>
    <w:p>
      <w:pPr>
        <w:adjustRightInd w:val="0"/>
        <w:snapToGrid w:val="0"/>
        <w:spacing w:line="60" w:lineRule="atLeast"/>
        <w:ind w:left="6499" w:leftChars="2709" w:hanging="810" w:hangingChars="450"/>
        <w:jc w:val="left"/>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jc w:val="left"/>
        <w:rPr>
          <w:rFonts w:ascii="宋体" w:hAnsi="宋体"/>
          <w:sz w:val="18"/>
          <w:szCs w:val="18"/>
        </w:rPr>
      </w:pPr>
    </w:p>
    <w:p>
      <w:pPr>
        <w:jc w:val="center"/>
        <w:rPr>
          <w:sz w:val="18"/>
          <w:szCs w:val="18"/>
        </w:rPr>
      </w:pPr>
      <w:r>
        <w:rPr>
          <w:sz w:val="18"/>
          <w:szCs w:val="18"/>
        </w:rPr>
        <w:t>20   年  月  旬</w:t>
      </w:r>
    </w:p>
    <w:tbl>
      <w:tblPr>
        <w:tblStyle w:val="19"/>
        <w:tblW w:w="8364" w:type="dxa"/>
        <w:tblInd w:w="108" w:type="dxa"/>
        <w:tblLayout w:type="fixed"/>
        <w:tblCellMar>
          <w:top w:w="0" w:type="dxa"/>
          <w:left w:w="108" w:type="dxa"/>
          <w:bottom w:w="0" w:type="dxa"/>
          <w:right w:w="108" w:type="dxa"/>
        </w:tblCellMar>
      </w:tblPr>
      <w:tblGrid>
        <w:gridCol w:w="709"/>
        <w:gridCol w:w="851"/>
        <w:gridCol w:w="850"/>
        <w:gridCol w:w="709"/>
        <w:gridCol w:w="566"/>
        <w:gridCol w:w="993"/>
        <w:gridCol w:w="992"/>
        <w:gridCol w:w="851"/>
        <w:gridCol w:w="850"/>
        <w:gridCol w:w="993"/>
      </w:tblGrid>
      <w:tr>
        <w:tblPrEx>
          <w:tblLayout w:type="fixed"/>
          <w:tblCellMar>
            <w:top w:w="0" w:type="dxa"/>
            <w:left w:w="108" w:type="dxa"/>
            <w:bottom w:w="0" w:type="dxa"/>
            <w:right w:w="108" w:type="dxa"/>
          </w:tblCellMar>
        </w:tblPrEx>
        <w:trPr>
          <w:trHeight w:val="931" w:hRule="atLeast"/>
        </w:trPr>
        <w:tc>
          <w:tcPr>
            <w:tcW w:w="709" w:type="dxa"/>
            <w:tcBorders>
              <w:top w:val="single" w:color="auto" w:sz="8" w:space="0"/>
              <w:bottom w:val="single" w:color="auto" w:sz="4" w:space="0"/>
              <w:right w:val="single" w:color="auto" w:sz="4" w:space="0"/>
            </w:tcBorders>
            <w:vAlign w:val="center"/>
          </w:tcPr>
          <w:p>
            <w:pPr>
              <w:widowControl/>
              <w:rPr>
                <w:kern w:val="0"/>
                <w:sz w:val="18"/>
                <w:szCs w:val="18"/>
              </w:rPr>
            </w:pPr>
            <w:r>
              <w:rPr>
                <w:kern w:val="0"/>
                <w:sz w:val="18"/>
                <w:szCs w:val="18"/>
              </w:rPr>
              <w:t>类别</w:t>
            </w:r>
          </w:p>
        </w:tc>
        <w:tc>
          <w:tcPr>
            <w:tcW w:w="851"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名称</w:t>
            </w:r>
          </w:p>
        </w:tc>
        <w:tc>
          <w:tcPr>
            <w:tcW w:w="850"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规格</w:t>
            </w:r>
          </w:p>
        </w:tc>
        <w:tc>
          <w:tcPr>
            <w:tcW w:w="709"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计量单位</w:t>
            </w:r>
          </w:p>
        </w:tc>
        <w:tc>
          <w:tcPr>
            <w:tcW w:w="566" w:type="dxa"/>
            <w:tcBorders>
              <w:top w:val="single" w:color="auto" w:sz="4" w:space="0"/>
              <w:left w:val="single" w:color="auto" w:sz="4" w:space="0"/>
              <w:right w:val="single" w:color="auto" w:sz="4" w:space="0"/>
            </w:tcBorders>
            <w:vAlign w:val="center"/>
          </w:tcPr>
          <w:p>
            <w:pPr>
              <w:widowControl/>
              <w:jc w:val="center"/>
              <w:rPr>
                <w:kern w:val="0"/>
                <w:sz w:val="18"/>
                <w:szCs w:val="18"/>
              </w:rPr>
            </w:pPr>
            <w:r>
              <w:rPr>
                <w:kern w:val="0"/>
                <w:sz w:val="18"/>
                <w:szCs w:val="18"/>
              </w:rPr>
              <w:t>代码</w:t>
            </w:r>
          </w:p>
        </w:tc>
        <w:tc>
          <w:tcPr>
            <w:tcW w:w="993"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出口价格</w:t>
            </w:r>
            <w:r>
              <w:rPr>
                <w:sz w:val="18"/>
                <w:szCs w:val="18"/>
              </w:rPr>
              <w:t>（元）</w:t>
            </w:r>
          </w:p>
        </w:tc>
        <w:tc>
          <w:tcPr>
            <w:tcW w:w="992"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内销价格</w:t>
            </w:r>
            <w:r>
              <w:rPr>
                <w:sz w:val="18"/>
                <w:szCs w:val="18"/>
              </w:rPr>
              <w:t>（元）</w:t>
            </w:r>
          </w:p>
        </w:tc>
        <w:tc>
          <w:tcPr>
            <w:tcW w:w="851"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生产量</w:t>
            </w:r>
          </w:p>
        </w:tc>
        <w:tc>
          <w:tcPr>
            <w:tcW w:w="850"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内销量</w:t>
            </w:r>
          </w:p>
        </w:tc>
        <w:tc>
          <w:tcPr>
            <w:tcW w:w="993" w:type="dxa"/>
            <w:tcBorders>
              <w:top w:val="single" w:color="auto" w:sz="8" w:space="0"/>
              <w:left w:val="single" w:color="auto" w:sz="4" w:space="0"/>
              <w:bottom w:val="single" w:color="auto" w:sz="4" w:space="0"/>
            </w:tcBorders>
            <w:vAlign w:val="center"/>
          </w:tcPr>
          <w:p>
            <w:pPr>
              <w:widowControl/>
              <w:jc w:val="center"/>
              <w:rPr>
                <w:kern w:val="0"/>
                <w:sz w:val="18"/>
                <w:szCs w:val="18"/>
              </w:rPr>
            </w:pPr>
            <w:r>
              <w:rPr>
                <w:kern w:val="0"/>
                <w:sz w:val="18"/>
                <w:szCs w:val="18"/>
              </w:rPr>
              <w:t>外销量</w:t>
            </w:r>
          </w:p>
        </w:tc>
      </w:tr>
      <w:tr>
        <w:tblPrEx>
          <w:tblLayout w:type="fixed"/>
          <w:tblCellMar>
            <w:top w:w="0" w:type="dxa"/>
            <w:left w:w="108" w:type="dxa"/>
            <w:bottom w:w="0" w:type="dxa"/>
            <w:right w:w="108" w:type="dxa"/>
          </w:tblCellMar>
        </w:tblPrEx>
        <w:trPr>
          <w:trHeight w:val="463" w:hRule="atLeast"/>
        </w:trPr>
        <w:tc>
          <w:tcPr>
            <w:tcW w:w="709" w:type="dxa"/>
            <w:tcBorders>
              <w:top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甲</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乙</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丙</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丁</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戊</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1</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2</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3</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4</w:t>
            </w:r>
          </w:p>
        </w:tc>
        <w:tc>
          <w:tcPr>
            <w:tcW w:w="993" w:type="dxa"/>
            <w:tcBorders>
              <w:top w:val="nil"/>
              <w:left w:val="nil"/>
              <w:bottom w:val="single" w:color="auto" w:sz="4" w:space="0"/>
            </w:tcBorders>
            <w:vAlign w:val="center"/>
          </w:tcPr>
          <w:p>
            <w:pPr>
              <w:widowControl/>
              <w:jc w:val="center"/>
              <w:rPr>
                <w:kern w:val="0"/>
                <w:sz w:val="18"/>
                <w:szCs w:val="18"/>
              </w:rPr>
            </w:pPr>
            <w:r>
              <w:rPr>
                <w:rFonts w:hint="eastAsia"/>
                <w:kern w:val="0"/>
                <w:sz w:val="18"/>
                <w:szCs w:val="18"/>
              </w:rPr>
              <w:t>5</w:t>
            </w:r>
          </w:p>
        </w:tc>
      </w:tr>
      <w:tr>
        <w:tblPrEx>
          <w:tblLayout w:type="fixed"/>
          <w:tblCellMar>
            <w:top w:w="0" w:type="dxa"/>
            <w:left w:w="108" w:type="dxa"/>
            <w:bottom w:w="0" w:type="dxa"/>
            <w:right w:w="108" w:type="dxa"/>
          </w:tblCellMar>
        </w:tblPrEx>
        <w:trPr>
          <w:trHeight w:val="620" w:hRule="atLeast"/>
        </w:trPr>
        <w:tc>
          <w:tcPr>
            <w:tcW w:w="709" w:type="dxa"/>
            <w:vMerge w:val="restart"/>
            <w:tcBorders>
              <w:top w:val="nil"/>
              <w:bottom w:val="single" w:color="auto" w:sz="4" w:space="0"/>
              <w:right w:val="single" w:color="auto" w:sz="4" w:space="0"/>
            </w:tcBorders>
            <w:vAlign w:val="center"/>
          </w:tcPr>
          <w:p>
            <w:pPr>
              <w:widowControl/>
              <w:rPr>
                <w:kern w:val="0"/>
                <w:sz w:val="18"/>
                <w:szCs w:val="18"/>
              </w:rPr>
            </w:pPr>
            <w:r>
              <w:rPr>
                <w:kern w:val="0"/>
                <w:sz w:val="18"/>
                <w:szCs w:val="18"/>
              </w:rPr>
              <w:t>蚕茧</w:t>
            </w:r>
          </w:p>
        </w:tc>
        <w:tc>
          <w:tcPr>
            <w:tcW w:w="851"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鲜茧</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01</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459" w:hRule="atLeast"/>
        </w:trPr>
        <w:tc>
          <w:tcPr>
            <w:tcW w:w="709" w:type="dxa"/>
            <w:vMerge w:val="continue"/>
            <w:tcBorders>
              <w:top w:val="nil"/>
              <w:bottom w:val="single" w:color="auto" w:sz="4" w:space="0"/>
              <w:right w:val="single" w:color="auto" w:sz="4" w:space="0"/>
            </w:tcBorders>
            <w:vAlign w:val="center"/>
          </w:tcPr>
          <w:p>
            <w:pPr>
              <w:widowControl/>
              <w:rPr>
                <w:kern w:val="0"/>
                <w:sz w:val="18"/>
                <w:szCs w:val="18"/>
              </w:rPr>
            </w:pPr>
          </w:p>
        </w:tc>
        <w:tc>
          <w:tcPr>
            <w:tcW w:w="851" w:type="dxa"/>
            <w:vMerge w:val="restart"/>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干茧</w:t>
            </w: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茧级7</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02</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451" w:hRule="atLeast"/>
        </w:trPr>
        <w:tc>
          <w:tcPr>
            <w:tcW w:w="709" w:type="dxa"/>
            <w:vMerge w:val="continue"/>
            <w:tcBorders>
              <w:top w:val="nil"/>
              <w:bottom w:val="single" w:color="auto" w:sz="4" w:space="0"/>
              <w:right w:val="single" w:color="auto" w:sz="4" w:space="0"/>
            </w:tcBorders>
            <w:vAlign w:val="center"/>
          </w:tcPr>
          <w:p>
            <w:pPr>
              <w:widowControl/>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茧级10</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03</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PrEx>
        <w:trPr>
          <w:trHeight w:val="457" w:hRule="atLeast"/>
        </w:trPr>
        <w:tc>
          <w:tcPr>
            <w:tcW w:w="709" w:type="dxa"/>
            <w:vMerge w:val="restart"/>
            <w:tcBorders>
              <w:top w:val="nil"/>
              <w:bottom w:val="single" w:color="auto" w:sz="4" w:space="0"/>
              <w:right w:val="single" w:color="auto" w:sz="4" w:space="0"/>
            </w:tcBorders>
            <w:vAlign w:val="center"/>
          </w:tcPr>
          <w:p>
            <w:pPr>
              <w:widowControl/>
              <w:rPr>
                <w:kern w:val="0"/>
                <w:sz w:val="18"/>
                <w:szCs w:val="18"/>
              </w:rPr>
            </w:pPr>
            <w:r>
              <w:rPr>
                <w:kern w:val="0"/>
                <w:sz w:val="18"/>
                <w:szCs w:val="18"/>
              </w:rPr>
              <w:t>缫丝</w:t>
            </w:r>
          </w:p>
        </w:tc>
        <w:tc>
          <w:tcPr>
            <w:tcW w:w="851" w:type="dxa"/>
            <w:vMerge w:val="restart"/>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生丝（20－22D）</w:t>
            </w: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3A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04</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48"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4A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05</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68"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5A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06</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60"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6A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07</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53" w:hRule="atLeast"/>
        </w:trPr>
        <w:tc>
          <w:tcPr>
            <w:tcW w:w="709" w:type="dxa"/>
            <w:vMerge w:val="continue"/>
            <w:tcBorders>
              <w:top w:val="nil"/>
              <w:bottom w:val="single" w:color="auto" w:sz="8"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8" w:space="0"/>
              <w:right w:val="single" w:color="auto" w:sz="4" w:space="0"/>
            </w:tcBorders>
            <w:vAlign w:val="center"/>
          </w:tcPr>
          <w:p>
            <w:pPr>
              <w:widowControl/>
              <w:rPr>
                <w:kern w:val="0"/>
                <w:sz w:val="18"/>
                <w:szCs w:val="18"/>
              </w:rPr>
            </w:pPr>
          </w:p>
        </w:tc>
        <w:tc>
          <w:tcPr>
            <w:tcW w:w="850" w:type="dxa"/>
            <w:tcBorders>
              <w:top w:val="nil"/>
              <w:left w:val="nil"/>
              <w:bottom w:val="single" w:color="auto" w:sz="8" w:space="0"/>
              <w:right w:val="single" w:color="auto" w:sz="4" w:space="0"/>
            </w:tcBorders>
            <w:vAlign w:val="center"/>
          </w:tcPr>
          <w:p>
            <w:pPr>
              <w:widowControl/>
              <w:rPr>
                <w:kern w:val="0"/>
                <w:sz w:val="18"/>
                <w:szCs w:val="18"/>
              </w:rPr>
            </w:pPr>
            <w:r>
              <w:rPr>
                <w:kern w:val="0"/>
                <w:sz w:val="18"/>
                <w:szCs w:val="18"/>
              </w:rPr>
              <w:t>其他等级</w:t>
            </w:r>
          </w:p>
        </w:tc>
        <w:tc>
          <w:tcPr>
            <w:tcW w:w="709" w:type="dxa"/>
            <w:tcBorders>
              <w:top w:val="nil"/>
              <w:left w:val="nil"/>
              <w:bottom w:val="single" w:color="auto" w:sz="8"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08</w:t>
            </w:r>
          </w:p>
        </w:tc>
        <w:tc>
          <w:tcPr>
            <w:tcW w:w="993" w:type="dxa"/>
            <w:tcBorders>
              <w:top w:val="nil"/>
              <w:left w:val="single" w:color="auto" w:sz="4" w:space="0"/>
              <w:bottom w:val="single" w:color="auto" w:sz="8"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8" w:space="0"/>
              <w:right w:val="single" w:color="auto" w:sz="4" w:space="0"/>
            </w:tcBorders>
            <w:vAlign w:val="center"/>
          </w:tcPr>
          <w:p>
            <w:pPr>
              <w:widowControl/>
              <w:jc w:val="center"/>
              <w:rPr>
                <w:kern w:val="0"/>
                <w:sz w:val="18"/>
                <w:szCs w:val="18"/>
              </w:rPr>
            </w:pPr>
            <w:r>
              <w:rPr>
                <w:kern w:val="0"/>
                <w:sz w:val="18"/>
                <w:szCs w:val="18"/>
              </w:rPr>
              <w:t>—</w:t>
            </w:r>
          </w:p>
        </w:tc>
        <w:tc>
          <w:tcPr>
            <w:tcW w:w="851" w:type="dxa"/>
            <w:tcBorders>
              <w:top w:val="nil"/>
              <w:left w:val="nil"/>
              <w:bottom w:val="single" w:color="auto" w:sz="8"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8" w:space="0"/>
            </w:tcBorders>
            <w:vAlign w:val="center"/>
          </w:tcPr>
          <w:p>
            <w:pPr>
              <w:widowControl/>
              <w:jc w:val="center"/>
              <w:rPr>
                <w:kern w:val="0"/>
                <w:sz w:val="18"/>
                <w:szCs w:val="18"/>
              </w:rPr>
            </w:pPr>
          </w:p>
        </w:tc>
      </w:tr>
    </w:tbl>
    <w:p>
      <w:pPr>
        <w:adjustRightInd w:val="0"/>
        <w:snapToGrid w:val="0"/>
        <w:spacing w:line="60" w:lineRule="atLeast"/>
        <w:rPr>
          <w:sz w:val="18"/>
          <w:szCs w:val="18"/>
        </w:rPr>
      </w:pPr>
      <w:r>
        <w:rPr>
          <w:rFonts w:hint="eastAsia" w:ascii="宋体" w:hAnsi="宋体" w:cs="宋体"/>
          <w:color w:val="000000"/>
          <w:kern w:val="0"/>
          <w:sz w:val="18"/>
          <w:szCs w:val="18"/>
        </w:rPr>
        <w:t>单位负责人：         统计负责人：        填表人：      联系电话：       报出日期：20  年  月  日</w:t>
      </w:r>
    </w:p>
    <w:tbl>
      <w:tblPr>
        <w:tblStyle w:val="19"/>
        <w:tblW w:w="8522" w:type="dxa"/>
        <w:tblInd w:w="0" w:type="dxa"/>
        <w:tblLayout w:type="fixed"/>
        <w:tblCellMar>
          <w:top w:w="0" w:type="dxa"/>
          <w:left w:w="108" w:type="dxa"/>
          <w:bottom w:w="0" w:type="dxa"/>
          <w:right w:w="108" w:type="dxa"/>
        </w:tblCellMar>
      </w:tblPr>
      <w:tblGrid>
        <w:gridCol w:w="1705"/>
        <w:gridCol w:w="1705"/>
        <w:gridCol w:w="1704"/>
        <w:gridCol w:w="1704"/>
        <w:gridCol w:w="1704"/>
      </w:tblGrid>
      <w:tr>
        <w:tblPrEx>
          <w:tblLayout w:type="fixed"/>
          <w:tblCellMar>
            <w:top w:w="0" w:type="dxa"/>
            <w:left w:w="108" w:type="dxa"/>
            <w:bottom w:w="0" w:type="dxa"/>
            <w:right w:w="108" w:type="dxa"/>
          </w:tblCellMar>
        </w:tblPrEx>
        <w:trPr>
          <w:trHeight w:val="270" w:hRule="atLeast"/>
        </w:trPr>
        <w:tc>
          <w:tcPr>
            <w:tcW w:w="8522" w:type="dxa"/>
            <w:gridSpan w:val="5"/>
            <w:tcBorders>
              <w:top w:val="nil"/>
              <w:left w:val="nil"/>
              <w:bottom w:val="nil"/>
              <w:right w:val="nil"/>
            </w:tcBorders>
            <w:shd w:val="clear" w:color="auto" w:fill="auto"/>
            <w:vAlign w:val="center"/>
          </w:tcPr>
          <w:p>
            <w:pPr>
              <w:widowControl/>
              <w:rPr>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8522" w:type="dxa"/>
            <w:gridSpan w:val="5"/>
            <w:tcBorders>
              <w:top w:val="nil"/>
              <w:left w:val="nil"/>
              <w:bottom w:val="single" w:color="auto" w:sz="8"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续表</w:t>
            </w: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内销额</w:t>
            </w:r>
          </w:p>
        </w:tc>
        <w:tc>
          <w:tcPr>
            <w:tcW w:w="170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外销额</w:t>
            </w:r>
          </w:p>
        </w:tc>
        <w:tc>
          <w:tcPr>
            <w:tcW w:w="170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库存量</w:t>
            </w:r>
          </w:p>
        </w:tc>
        <w:tc>
          <w:tcPr>
            <w:tcW w:w="1704"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收购价格</w:t>
            </w:r>
          </w:p>
        </w:tc>
        <w:tc>
          <w:tcPr>
            <w:tcW w:w="1704"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收购量</w:t>
            </w: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170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170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元</w:t>
            </w:r>
            <w:r>
              <w:rPr>
                <w:color w:val="000000"/>
                <w:kern w:val="0"/>
                <w:sz w:val="18"/>
                <w:szCs w:val="18"/>
              </w:rPr>
              <w:t>)</w:t>
            </w:r>
          </w:p>
        </w:tc>
        <w:tc>
          <w:tcPr>
            <w:tcW w:w="1704" w:type="dxa"/>
            <w:vMerge w:val="continue"/>
            <w:tcBorders>
              <w:top w:val="nil"/>
              <w:left w:val="single" w:color="auto" w:sz="8" w:space="0"/>
              <w:bottom w:val="single" w:color="auto" w:sz="8" w:space="0"/>
              <w:right w:val="nil"/>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6</w:t>
            </w:r>
          </w:p>
        </w:tc>
        <w:tc>
          <w:tcPr>
            <w:tcW w:w="170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7</w:t>
            </w: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8</w:t>
            </w: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9</w:t>
            </w:r>
          </w:p>
        </w:tc>
        <w:tc>
          <w:tcPr>
            <w:tcW w:w="1704" w:type="dxa"/>
            <w:tcBorders>
              <w:top w:val="nil"/>
              <w:left w:val="nil"/>
              <w:bottom w:val="single" w:color="auto" w:sz="8" w:space="0"/>
              <w:right w:val="nil"/>
            </w:tcBorders>
            <w:shd w:val="clear" w:color="auto" w:fill="auto"/>
            <w:vAlign w:val="center"/>
          </w:tcPr>
          <w:p>
            <w:pPr>
              <w:widowControl/>
              <w:jc w:val="center"/>
              <w:rPr>
                <w:color w:val="000000"/>
                <w:kern w:val="0"/>
                <w:sz w:val="18"/>
                <w:szCs w:val="18"/>
              </w:rPr>
            </w:pPr>
            <w:r>
              <w:rPr>
                <w:color w:val="000000"/>
                <w:kern w:val="0"/>
                <w:sz w:val="18"/>
                <w:szCs w:val="18"/>
              </w:rPr>
              <w:t>10</w:t>
            </w:r>
          </w:p>
        </w:tc>
      </w:tr>
    </w:tbl>
    <w:p>
      <w:pPr>
        <w:rPr>
          <w:sz w:val="18"/>
          <w:szCs w:val="18"/>
        </w:rPr>
      </w:pPr>
      <w:r>
        <w:rPr>
          <w:sz w:val="18"/>
          <w:szCs w:val="18"/>
        </w:rPr>
        <w:t>注：划“—”处该栏不填</w:t>
      </w:r>
    </w:p>
    <w:p>
      <w:pPr>
        <w:adjustRightInd w:val="0"/>
        <w:snapToGrid w:val="0"/>
        <w:spacing w:line="60" w:lineRule="atLeast"/>
        <w:ind w:firstLine="2700" w:firstLineChars="1500"/>
        <w:rPr>
          <w:sz w:val="18"/>
          <w:szCs w:val="18"/>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jc w:val="center"/>
        <w:rPr>
          <w:kern w:val="0"/>
          <w:sz w:val="32"/>
          <w:szCs w:val="32"/>
        </w:rPr>
      </w:pPr>
      <w:r>
        <w:rPr>
          <w:kern w:val="0"/>
          <w:sz w:val="32"/>
          <w:szCs w:val="32"/>
        </w:rPr>
        <w:t>全国茧丝绸行业市场监测月报表</w:t>
      </w:r>
    </w:p>
    <w:p>
      <w:pPr>
        <w:ind w:firstLine="5670" w:firstLineChars="3150"/>
        <w:rPr>
          <w:sz w:val="18"/>
          <w:szCs w:val="18"/>
        </w:rPr>
      </w:pPr>
    </w:p>
    <w:p>
      <w:pPr>
        <w:ind w:firstLine="5670" w:firstLineChars="3150"/>
        <w:rPr>
          <w:kern w:val="0"/>
          <w:sz w:val="32"/>
          <w:szCs w:val="32"/>
        </w:rPr>
      </w:pPr>
      <w:r>
        <w:rPr>
          <w:sz w:val="18"/>
          <w:szCs w:val="18"/>
        </w:rPr>
        <w:t>表    号：</w:t>
      </w:r>
      <w:r>
        <w:rPr>
          <w:kern w:val="0"/>
          <w:sz w:val="18"/>
          <w:szCs w:val="18"/>
        </w:rPr>
        <w:t>产品2表</w:t>
      </w:r>
    </w:p>
    <w:p>
      <w:pPr>
        <w:adjustRightInd w:val="0"/>
        <w:snapToGrid w:val="0"/>
        <w:spacing w:line="60" w:lineRule="atLeast"/>
        <w:ind w:right="656" w:firstLine="5670" w:firstLineChars="3150"/>
        <w:rPr>
          <w:sz w:val="18"/>
          <w:szCs w:val="18"/>
        </w:rPr>
      </w:pPr>
      <w:r>
        <w:rPr>
          <w:sz w:val="18"/>
          <w:szCs w:val="18"/>
        </w:rPr>
        <w:t>制定机关：商务部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jc w:val="left"/>
        <w:rPr>
          <w:rFonts w:ascii="宋体" w:hAnsi="宋体"/>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 xml:space="preserve"> 有效期至：2018年</w:t>
      </w:r>
      <w:r>
        <w:rPr>
          <w:rFonts w:hint="eastAsia"/>
          <w:sz w:val="18"/>
          <w:szCs w:val="18"/>
          <w:lang w:val="en-US" w:eastAsia="zh-CN"/>
        </w:rPr>
        <w:t>5</w:t>
      </w:r>
      <w:r>
        <w:rPr>
          <w:sz w:val="18"/>
          <w:szCs w:val="18"/>
        </w:rPr>
        <w:t>月</w:t>
      </w:r>
    </w:p>
    <w:p>
      <w:pPr>
        <w:jc w:val="center"/>
        <w:rPr>
          <w:sz w:val="18"/>
          <w:szCs w:val="18"/>
        </w:rPr>
      </w:pPr>
    </w:p>
    <w:p>
      <w:pPr>
        <w:jc w:val="center"/>
        <w:rPr>
          <w:sz w:val="18"/>
          <w:szCs w:val="18"/>
        </w:rPr>
      </w:pPr>
      <w:r>
        <w:rPr>
          <w:sz w:val="18"/>
          <w:szCs w:val="18"/>
        </w:rPr>
        <w:t>20    年 月</w:t>
      </w:r>
    </w:p>
    <w:tbl>
      <w:tblPr>
        <w:tblStyle w:val="19"/>
        <w:tblW w:w="8307"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06"/>
        <w:gridCol w:w="1457"/>
        <w:gridCol w:w="657"/>
        <w:gridCol w:w="827"/>
        <w:gridCol w:w="827"/>
        <w:gridCol w:w="908"/>
        <w:gridCol w:w="800"/>
        <w:gridCol w:w="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25" w:type="dxa"/>
            <w:vAlign w:val="center"/>
          </w:tcPr>
          <w:p>
            <w:pPr>
              <w:adjustRightInd w:val="0"/>
              <w:snapToGrid w:val="0"/>
              <w:spacing w:line="60" w:lineRule="atLeast"/>
              <w:jc w:val="center"/>
              <w:rPr>
                <w:sz w:val="18"/>
                <w:szCs w:val="18"/>
              </w:rPr>
            </w:pPr>
            <w:r>
              <w:rPr>
                <w:sz w:val="18"/>
                <w:szCs w:val="18"/>
              </w:rPr>
              <w:t>类别</w:t>
            </w:r>
          </w:p>
        </w:tc>
        <w:tc>
          <w:tcPr>
            <w:tcW w:w="1206" w:type="dxa"/>
            <w:vAlign w:val="center"/>
          </w:tcPr>
          <w:p>
            <w:pPr>
              <w:adjustRightInd w:val="0"/>
              <w:snapToGrid w:val="0"/>
              <w:spacing w:line="60" w:lineRule="atLeast"/>
              <w:rPr>
                <w:sz w:val="18"/>
                <w:szCs w:val="18"/>
              </w:rPr>
            </w:pPr>
            <w:r>
              <w:rPr>
                <w:sz w:val="18"/>
                <w:szCs w:val="18"/>
              </w:rPr>
              <w:t>材料类别</w:t>
            </w:r>
          </w:p>
        </w:tc>
        <w:tc>
          <w:tcPr>
            <w:tcW w:w="1457" w:type="dxa"/>
            <w:vAlign w:val="center"/>
          </w:tcPr>
          <w:p>
            <w:pPr>
              <w:adjustRightInd w:val="0"/>
              <w:snapToGrid w:val="0"/>
              <w:spacing w:line="60" w:lineRule="atLeast"/>
              <w:rPr>
                <w:sz w:val="18"/>
                <w:szCs w:val="18"/>
              </w:rPr>
            </w:pPr>
            <w:r>
              <w:rPr>
                <w:sz w:val="18"/>
                <w:szCs w:val="18"/>
              </w:rPr>
              <w:t>规格名称</w:t>
            </w:r>
          </w:p>
        </w:tc>
        <w:tc>
          <w:tcPr>
            <w:tcW w:w="657" w:type="dxa"/>
            <w:vAlign w:val="center"/>
          </w:tcPr>
          <w:p>
            <w:pPr>
              <w:adjustRightInd w:val="0"/>
              <w:snapToGrid w:val="0"/>
              <w:spacing w:line="60" w:lineRule="atLeast"/>
              <w:jc w:val="center"/>
              <w:rPr>
                <w:sz w:val="18"/>
                <w:szCs w:val="18"/>
              </w:rPr>
            </w:pPr>
            <w:r>
              <w:rPr>
                <w:sz w:val="18"/>
                <w:szCs w:val="18"/>
              </w:rPr>
              <w:t>计量单位</w:t>
            </w:r>
          </w:p>
        </w:tc>
        <w:tc>
          <w:tcPr>
            <w:tcW w:w="827" w:type="dxa"/>
            <w:vAlign w:val="center"/>
          </w:tcPr>
          <w:p>
            <w:pPr>
              <w:adjustRightInd w:val="0"/>
              <w:snapToGrid w:val="0"/>
              <w:spacing w:line="60" w:lineRule="atLeast"/>
              <w:ind w:right="-145" w:rightChars="-69" w:firstLine="90" w:firstLineChars="50"/>
              <w:rPr>
                <w:sz w:val="18"/>
                <w:szCs w:val="18"/>
              </w:rPr>
            </w:pPr>
            <w:r>
              <w:rPr>
                <w:sz w:val="18"/>
                <w:szCs w:val="18"/>
              </w:rPr>
              <w:t>代码</w:t>
            </w:r>
          </w:p>
        </w:tc>
        <w:tc>
          <w:tcPr>
            <w:tcW w:w="827" w:type="dxa"/>
            <w:vAlign w:val="center"/>
          </w:tcPr>
          <w:p>
            <w:pPr>
              <w:adjustRightInd w:val="0"/>
              <w:snapToGrid w:val="0"/>
              <w:spacing w:line="60" w:lineRule="atLeast"/>
              <w:ind w:right="-145" w:rightChars="-69" w:firstLine="90" w:firstLineChars="50"/>
              <w:rPr>
                <w:sz w:val="18"/>
                <w:szCs w:val="18"/>
              </w:rPr>
            </w:pPr>
            <w:r>
              <w:rPr>
                <w:sz w:val="18"/>
                <w:szCs w:val="18"/>
              </w:rPr>
              <w:t>出口</w:t>
            </w:r>
          </w:p>
          <w:p>
            <w:pPr>
              <w:adjustRightInd w:val="0"/>
              <w:snapToGrid w:val="0"/>
              <w:spacing w:line="60" w:lineRule="atLeast"/>
              <w:ind w:right="-145" w:rightChars="-69" w:firstLine="90" w:firstLineChars="50"/>
              <w:rPr>
                <w:sz w:val="18"/>
                <w:szCs w:val="18"/>
              </w:rPr>
            </w:pPr>
            <w:r>
              <w:rPr>
                <w:sz w:val="18"/>
                <w:szCs w:val="18"/>
              </w:rPr>
              <w:t>价格</w:t>
            </w:r>
          </w:p>
          <w:p>
            <w:pPr>
              <w:adjustRightInd w:val="0"/>
              <w:snapToGrid w:val="0"/>
              <w:spacing w:line="60" w:lineRule="atLeast"/>
              <w:rPr>
                <w:sz w:val="18"/>
                <w:szCs w:val="18"/>
              </w:rPr>
            </w:pPr>
            <w:r>
              <w:rPr>
                <w:sz w:val="18"/>
                <w:szCs w:val="18"/>
              </w:rPr>
              <w:t>（元）</w:t>
            </w:r>
          </w:p>
        </w:tc>
        <w:tc>
          <w:tcPr>
            <w:tcW w:w="908" w:type="dxa"/>
            <w:vAlign w:val="center"/>
          </w:tcPr>
          <w:p>
            <w:pPr>
              <w:adjustRightInd w:val="0"/>
              <w:snapToGrid w:val="0"/>
              <w:spacing w:line="60" w:lineRule="atLeast"/>
              <w:jc w:val="center"/>
              <w:rPr>
                <w:sz w:val="18"/>
                <w:szCs w:val="18"/>
              </w:rPr>
            </w:pPr>
            <w:r>
              <w:rPr>
                <w:sz w:val="18"/>
                <w:szCs w:val="18"/>
              </w:rPr>
              <w:t>内销</w:t>
            </w:r>
          </w:p>
          <w:p>
            <w:pPr>
              <w:adjustRightInd w:val="0"/>
              <w:snapToGrid w:val="0"/>
              <w:spacing w:line="60" w:lineRule="atLeast"/>
              <w:jc w:val="center"/>
              <w:rPr>
                <w:sz w:val="18"/>
                <w:szCs w:val="18"/>
              </w:rPr>
            </w:pPr>
            <w:r>
              <w:rPr>
                <w:sz w:val="18"/>
                <w:szCs w:val="18"/>
              </w:rPr>
              <w:t>价格</w:t>
            </w:r>
          </w:p>
          <w:p>
            <w:pPr>
              <w:adjustRightInd w:val="0"/>
              <w:snapToGrid w:val="0"/>
              <w:spacing w:line="60" w:lineRule="atLeast"/>
              <w:jc w:val="center"/>
              <w:rPr>
                <w:sz w:val="18"/>
                <w:szCs w:val="18"/>
              </w:rPr>
            </w:pPr>
            <w:r>
              <w:rPr>
                <w:sz w:val="18"/>
                <w:szCs w:val="18"/>
              </w:rPr>
              <w:t>（元）</w:t>
            </w:r>
          </w:p>
        </w:tc>
        <w:tc>
          <w:tcPr>
            <w:tcW w:w="800" w:type="dxa"/>
            <w:vAlign w:val="center"/>
          </w:tcPr>
          <w:p>
            <w:pPr>
              <w:adjustRightInd w:val="0"/>
              <w:snapToGrid w:val="0"/>
              <w:spacing w:line="60" w:lineRule="atLeast"/>
              <w:rPr>
                <w:sz w:val="18"/>
                <w:szCs w:val="18"/>
              </w:rPr>
            </w:pPr>
            <w:r>
              <w:rPr>
                <w:sz w:val="18"/>
                <w:szCs w:val="18"/>
              </w:rPr>
              <w:t>内销量</w:t>
            </w:r>
          </w:p>
        </w:tc>
        <w:tc>
          <w:tcPr>
            <w:tcW w:w="800" w:type="dxa"/>
            <w:vAlign w:val="center"/>
          </w:tcPr>
          <w:p>
            <w:pPr>
              <w:adjustRightInd w:val="0"/>
              <w:snapToGrid w:val="0"/>
              <w:spacing w:line="60" w:lineRule="atLeast"/>
              <w:rPr>
                <w:sz w:val="18"/>
                <w:szCs w:val="18"/>
              </w:rPr>
            </w:pPr>
            <w:r>
              <w:rPr>
                <w:sz w:val="18"/>
                <w:szCs w:val="18"/>
              </w:rPr>
              <w:t>外销量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25" w:type="dxa"/>
            <w:vAlign w:val="center"/>
          </w:tcPr>
          <w:p>
            <w:pPr>
              <w:adjustRightInd w:val="0"/>
              <w:snapToGrid w:val="0"/>
              <w:spacing w:line="60" w:lineRule="atLeast"/>
              <w:jc w:val="center"/>
              <w:rPr>
                <w:sz w:val="18"/>
                <w:szCs w:val="18"/>
              </w:rPr>
            </w:pPr>
            <w:r>
              <w:rPr>
                <w:rFonts w:hint="eastAsia"/>
                <w:sz w:val="18"/>
                <w:szCs w:val="18"/>
              </w:rPr>
              <w:t>甲</w:t>
            </w:r>
          </w:p>
        </w:tc>
        <w:tc>
          <w:tcPr>
            <w:tcW w:w="1206" w:type="dxa"/>
            <w:vAlign w:val="center"/>
          </w:tcPr>
          <w:p>
            <w:pPr>
              <w:adjustRightInd w:val="0"/>
              <w:snapToGrid w:val="0"/>
              <w:spacing w:line="60" w:lineRule="atLeast"/>
              <w:jc w:val="center"/>
              <w:rPr>
                <w:sz w:val="18"/>
                <w:szCs w:val="18"/>
              </w:rPr>
            </w:pPr>
            <w:r>
              <w:rPr>
                <w:rFonts w:hint="eastAsia"/>
                <w:sz w:val="18"/>
                <w:szCs w:val="18"/>
              </w:rPr>
              <w:t>乙</w:t>
            </w:r>
          </w:p>
        </w:tc>
        <w:tc>
          <w:tcPr>
            <w:tcW w:w="1457" w:type="dxa"/>
            <w:vAlign w:val="center"/>
          </w:tcPr>
          <w:p>
            <w:pPr>
              <w:adjustRightInd w:val="0"/>
              <w:snapToGrid w:val="0"/>
              <w:spacing w:line="60" w:lineRule="atLeast"/>
              <w:jc w:val="center"/>
              <w:rPr>
                <w:sz w:val="18"/>
                <w:szCs w:val="18"/>
              </w:rPr>
            </w:pPr>
            <w:r>
              <w:rPr>
                <w:rFonts w:hint="eastAsia"/>
                <w:sz w:val="18"/>
                <w:szCs w:val="18"/>
              </w:rPr>
              <w:t>丙</w:t>
            </w:r>
          </w:p>
        </w:tc>
        <w:tc>
          <w:tcPr>
            <w:tcW w:w="657" w:type="dxa"/>
            <w:vAlign w:val="center"/>
          </w:tcPr>
          <w:p>
            <w:pPr>
              <w:adjustRightInd w:val="0"/>
              <w:snapToGrid w:val="0"/>
              <w:spacing w:line="60" w:lineRule="atLeast"/>
              <w:jc w:val="center"/>
              <w:rPr>
                <w:sz w:val="18"/>
                <w:szCs w:val="18"/>
              </w:rPr>
            </w:pPr>
            <w:r>
              <w:rPr>
                <w:rFonts w:hint="eastAsia"/>
                <w:sz w:val="18"/>
                <w:szCs w:val="18"/>
              </w:rPr>
              <w:t>丁</w:t>
            </w:r>
          </w:p>
        </w:tc>
        <w:tc>
          <w:tcPr>
            <w:tcW w:w="827" w:type="dxa"/>
            <w:vAlign w:val="center"/>
          </w:tcPr>
          <w:p>
            <w:pPr>
              <w:adjustRightInd w:val="0"/>
              <w:snapToGrid w:val="0"/>
              <w:spacing w:line="60" w:lineRule="atLeast"/>
              <w:jc w:val="center"/>
              <w:rPr>
                <w:sz w:val="18"/>
                <w:szCs w:val="18"/>
              </w:rPr>
            </w:pPr>
            <w:r>
              <w:rPr>
                <w:rFonts w:hint="eastAsia"/>
                <w:sz w:val="18"/>
                <w:szCs w:val="18"/>
              </w:rPr>
              <w:t>戊</w:t>
            </w:r>
          </w:p>
        </w:tc>
        <w:tc>
          <w:tcPr>
            <w:tcW w:w="827" w:type="dxa"/>
            <w:vAlign w:val="center"/>
          </w:tcPr>
          <w:p>
            <w:pPr>
              <w:adjustRightInd w:val="0"/>
              <w:snapToGrid w:val="0"/>
              <w:spacing w:line="60" w:lineRule="atLeast"/>
              <w:jc w:val="center"/>
              <w:rPr>
                <w:sz w:val="18"/>
                <w:szCs w:val="18"/>
              </w:rPr>
            </w:pPr>
            <w:r>
              <w:rPr>
                <w:rFonts w:hint="eastAsia"/>
                <w:sz w:val="18"/>
                <w:szCs w:val="18"/>
              </w:rPr>
              <w:t>1</w:t>
            </w:r>
          </w:p>
        </w:tc>
        <w:tc>
          <w:tcPr>
            <w:tcW w:w="908" w:type="dxa"/>
            <w:vAlign w:val="center"/>
          </w:tcPr>
          <w:p>
            <w:pPr>
              <w:adjustRightInd w:val="0"/>
              <w:snapToGrid w:val="0"/>
              <w:spacing w:line="60" w:lineRule="atLeast"/>
              <w:jc w:val="center"/>
              <w:rPr>
                <w:sz w:val="18"/>
                <w:szCs w:val="18"/>
              </w:rPr>
            </w:pPr>
            <w:r>
              <w:rPr>
                <w:rFonts w:hint="eastAsia"/>
                <w:sz w:val="18"/>
                <w:szCs w:val="18"/>
              </w:rPr>
              <w:t>2</w:t>
            </w:r>
          </w:p>
        </w:tc>
        <w:tc>
          <w:tcPr>
            <w:tcW w:w="800" w:type="dxa"/>
            <w:vAlign w:val="center"/>
          </w:tcPr>
          <w:p>
            <w:pPr>
              <w:adjustRightInd w:val="0"/>
              <w:snapToGrid w:val="0"/>
              <w:spacing w:line="60" w:lineRule="atLeast"/>
              <w:jc w:val="center"/>
              <w:rPr>
                <w:sz w:val="18"/>
                <w:szCs w:val="18"/>
              </w:rPr>
            </w:pPr>
            <w:r>
              <w:rPr>
                <w:rFonts w:hint="eastAsia"/>
                <w:sz w:val="18"/>
                <w:szCs w:val="18"/>
              </w:rPr>
              <w:t>3</w:t>
            </w:r>
          </w:p>
        </w:tc>
        <w:tc>
          <w:tcPr>
            <w:tcW w:w="800" w:type="dxa"/>
            <w:vAlign w:val="center"/>
          </w:tcPr>
          <w:p>
            <w:pPr>
              <w:adjustRightInd w:val="0"/>
              <w:snapToGrid w:val="0"/>
              <w:spacing w:line="60" w:lineRule="atLeast"/>
              <w:jc w:val="center"/>
              <w:rPr>
                <w:sz w:val="18"/>
                <w:szCs w:val="18"/>
              </w:rPr>
            </w:pPr>
            <w:r>
              <w:rPr>
                <w:rFonts w:hint="eastAsia"/>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25" w:type="dxa"/>
            <w:vMerge w:val="restart"/>
            <w:vAlign w:val="center"/>
          </w:tcPr>
          <w:p>
            <w:pPr>
              <w:adjustRightInd w:val="0"/>
              <w:snapToGrid w:val="0"/>
              <w:spacing w:line="60" w:lineRule="atLeast"/>
              <w:jc w:val="center"/>
              <w:rPr>
                <w:sz w:val="18"/>
                <w:szCs w:val="18"/>
              </w:rPr>
            </w:pPr>
            <w:r>
              <w:rPr>
                <w:sz w:val="18"/>
                <w:szCs w:val="18"/>
              </w:rPr>
              <w:t>丝织</w:t>
            </w:r>
          </w:p>
        </w:tc>
        <w:tc>
          <w:tcPr>
            <w:tcW w:w="1206" w:type="dxa"/>
            <w:vMerge w:val="restart"/>
            <w:vAlign w:val="center"/>
          </w:tcPr>
          <w:p>
            <w:pPr>
              <w:adjustRightInd w:val="0"/>
              <w:snapToGrid w:val="0"/>
              <w:spacing w:line="60" w:lineRule="atLeast"/>
              <w:rPr>
                <w:sz w:val="18"/>
                <w:szCs w:val="18"/>
              </w:rPr>
            </w:pPr>
            <w:r>
              <w:rPr>
                <w:sz w:val="18"/>
                <w:szCs w:val="18"/>
              </w:rPr>
              <w:t>坯绸</w:t>
            </w:r>
          </w:p>
        </w:tc>
        <w:tc>
          <w:tcPr>
            <w:tcW w:w="1457" w:type="dxa"/>
            <w:vAlign w:val="center"/>
          </w:tcPr>
          <w:p>
            <w:pPr>
              <w:adjustRightInd w:val="0"/>
              <w:snapToGrid w:val="0"/>
              <w:spacing w:line="60" w:lineRule="atLeast"/>
              <w:rPr>
                <w:sz w:val="18"/>
                <w:szCs w:val="18"/>
              </w:rPr>
            </w:pPr>
            <w:r>
              <w:rPr>
                <w:sz w:val="18"/>
                <w:szCs w:val="18"/>
              </w:rPr>
              <w:t>真丝绸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其中：双绉</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素绉缎</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乔其纱</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电力纺</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斜纹绸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真丝交织织物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真丝混纺织物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08</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印染</w:t>
            </w:r>
          </w:p>
        </w:tc>
        <w:tc>
          <w:tcPr>
            <w:tcW w:w="1206" w:type="dxa"/>
            <w:vMerge w:val="restart"/>
            <w:vAlign w:val="center"/>
          </w:tcPr>
          <w:p>
            <w:pPr>
              <w:adjustRightInd w:val="0"/>
              <w:snapToGrid w:val="0"/>
              <w:spacing w:line="60" w:lineRule="atLeast"/>
              <w:rPr>
                <w:sz w:val="18"/>
                <w:szCs w:val="18"/>
              </w:rPr>
            </w:pPr>
            <w:r>
              <w:rPr>
                <w:sz w:val="18"/>
                <w:szCs w:val="18"/>
              </w:rPr>
              <w:t>印染绸</w:t>
            </w:r>
          </w:p>
        </w:tc>
        <w:tc>
          <w:tcPr>
            <w:tcW w:w="1457" w:type="dxa"/>
            <w:vAlign w:val="center"/>
          </w:tcPr>
          <w:p>
            <w:pPr>
              <w:adjustRightInd w:val="0"/>
              <w:snapToGrid w:val="0"/>
              <w:spacing w:line="60" w:lineRule="atLeast"/>
              <w:rPr>
                <w:sz w:val="18"/>
                <w:szCs w:val="18"/>
              </w:rPr>
            </w:pPr>
            <w:r>
              <w:rPr>
                <w:sz w:val="18"/>
                <w:szCs w:val="18"/>
              </w:rPr>
              <w:t>真丝绸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09</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61"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其中：双绉</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10</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素绉缎</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乔其纱</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电力纺</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斜纹绸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真丝交织织物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34"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真丝混纺织物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restart"/>
            <w:vAlign w:val="center"/>
          </w:tcPr>
          <w:p>
            <w:pPr>
              <w:adjustRightInd w:val="0"/>
              <w:snapToGrid w:val="0"/>
              <w:spacing w:line="60" w:lineRule="atLeast"/>
              <w:jc w:val="center"/>
              <w:rPr>
                <w:sz w:val="18"/>
                <w:szCs w:val="18"/>
              </w:rPr>
            </w:pPr>
            <w:r>
              <w:rPr>
                <w:sz w:val="18"/>
                <w:szCs w:val="18"/>
              </w:rPr>
              <w:t>针织</w:t>
            </w:r>
          </w:p>
        </w:tc>
        <w:tc>
          <w:tcPr>
            <w:tcW w:w="1206" w:type="dxa"/>
            <w:vMerge w:val="restart"/>
            <w:vAlign w:val="center"/>
          </w:tcPr>
          <w:p>
            <w:pPr>
              <w:adjustRightInd w:val="0"/>
              <w:snapToGrid w:val="0"/>
              <w:spacing w:line="60" w:lineRule="atLeast"/>
              <w:rPr>
                <w:sz w:val="18"/>
                <w:szCs w:val="18"/>
              </w:rPr>
            </w:pPr>
            <w:r>
              <w:rPr>
                <w:sz w:val="18"/>
                <w:szCs w:val="18"/>
              </w:rPr>
              <w:t>真丝针织</w:t>
            </w:r>
          </w:p>
        </w:tc>
        <w:tc>
          <w:tcPr>
            <w:tcW w:w="1457" w:type="dxa"/>
            <w:vAlign w:val="center"/>
          </w:tcPr>
          <w:p>
            <w:pPr>
              <w:adjustRightInd w:val="0"/>
              <w:snapToGrid w:val="0"/>
              <w:spacing w:line="60" w:lineRule="atLeast"/>
              <w:rPr>
                <w:sz w:val="18"/>
                <w:szCs w:val="18"/>
              </w:rPr>
            </w:pPr>
            <w:r>
              <w:rPr>
                <w:sz w:val="18"/>
                <w:szCs w:val="18"/>
              </w:rPr>
              <w:t>真丝针织物</w:t>
            </w:r>
          </w:p>
        </w:tc>
        <w:tc>
          <w:tcPr>
            <w:tcW w:w="657" w:type="dxa"/>
            <w:vAlign w:val="center"/>
          </w:tcPr>
          <w:p>
            <w:pPr>
              <w:adjustRightInd w:val="0"/>
              <w:snapToGrid w:val="0"/>
              <w:spacing w:line="60" w:lineRule="atLeast"/>
              <w:jc w:val="center"/>
              <w:rPr>
                <w:sz w:val="18"/>
                <w:szCs w:val="18"/>
              </w:rPr>
            </w:pPr>
            <w:r>
              <w:rPr>
                <w:sz w:val="18"/>
                <w:szCs w:val="18"/>
              </w:rPr>
              <w:t>公斤</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真丝针织服装</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18</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服装</w:t>
            </w:r>
          </w:p>
        </w:tc>
        <w:tc>
          <w:tcPr>
            <w:tcW w:w="1206" w:type="dxa"/>
            <w:vMerge w:val="restart"/>
            <w:vAlign w:val="center"/>
          </w:tcPr>
          <w:p>
            <w:pPr>
              <w:adjustRightInd w:val="0"/>
              <w:snapToGrid w:val="0"/>
              <w:spacing w:line="60" w:lineRule="atLeast"/>
              <w:rPr>
                <w:sz w:val="18"/>
                <w:szCs w:val="18"/>
              </w:rPr>
            </w:pPr>
            <w:r>
              <w:rPr>
                <w:sz w:val="18"/>
                <w:szCs w:val="18"/>
              </w:rPr>
              <w:t>丝绸梭织</w:t>
            </w:r>
          </w:p>
          <w:p>
            <w:pPr>
              <w:adjustRightInd w:val="0"/>
              <w:snapToGrid w:val="0"/>
              <w:spacing w:line="60" w:lineRule="atLeast"/>
              <w:rPr>
                <w:sz w:val="18"/>
                <w:szCs w:val="18"/>
              </w:rPr>
            </w:pPr>
            <w:r>
              <w:rPr>
                <w:sz w:val="18"/>
                <w:szCs w:val="18"/>
              </w:rPr>
              <w:t>服装</w:t>
            </w:r>
          </w:p>
        </w:tc>
        <w:tc>
          <w:tcPr>
            <w:tcW w:w="1457" w:type="dxa"/>
            <w:vAlign w:val="center"/>
          </w:tcPr>
          <w:p>
            <w:pPr>
              <w:adjustRightInd w:val="0"/>
              <w:snapToGrid w:val="0"/>
              <w:spacing w:line="60" w:lineRule="atLeast"/>
              <w:rPr>
                <w:sz w:val="18"/>
                <w:szCs w:val="18"/>
              </w:rPr>
            </w:pPr>
            <w:r>
              <w:rPr>
                <w:sz w:val="18"/>
                <w:szCs w:val="18"/>
              </w:rPr>
              <w:t>真丝男外衣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19</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真丝女外衣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20</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真丝男内衣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真丝女内衣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其他</w:t>
            </w:r>
          </w:p>
          <w:p>
            <w:pPr>
              <w:adjustRightInd w:val="0"/>
              <w:snapToGrid w:val="0"/>
              <w:spacing w:line="60" w:lineRule="atLeast"/>
              <w:jc w:val="center"/>
              <w:rPr>
                <w:sz w:val="18"/>
                <w:szCs w:val="18"/>
              </w:rPr>
            </w:pPr>
            <w:r>
              <w:rPr>
                <w:sz w:val="18"/>
                <w:szCs w:val="18"/>
              </w:rPr>
              <w:t>制品</w:t>
            </w:r>
          </w:p>
        </w:tc>
        <w:tc>
          <w:tcPr>
            <w:tcW w:w="1206" w:type="dxa"/>
            <w:vMerge w:val="restart"/>
            <w:vAlign w:val="center"/>
          </w:tcPr>
          <w:p>
            <w:pPr>
              <w:adjustRightInd w:val="0"/>
              <w:snapToGrid w:val="0"/>
              <w:spacing w:line="60" w:lineRule="atLeast"/>
              <w:rPr>
                <w:sz w:val="18"/>
                <w:szCs w:val="18"/>
              </w:rPr>
            </w:pPr>
            <w:r>
              <w:rPr>
                <w:sz w:val="18"/>
                <w:szCs w:val="18"/>
              </w:rPr>
              <w:t>丝绸制品</w:t>
            </w:r>
          </w:p>
        </w:tc>
        <w:tc>
          <w:tcPr>
            <w:tcW w:w="1457" w:type="dxa"/>
            <w:vAlign w:val="center"/>
          </w:tcPr>
          <w:p>
            <w:pPr>
              <w:adjustRightInd w:val="0"/>
              <w:snapToGrid w:val="0"/>
              <w:spacing w:line="60" w:lineRule="atLeast"/>
              <w:rPr>
                <w:sz w:val="18"/>
                <w:szCs w:val="18"/>
              </w:rPr>
            </w:pPr>
            <w:r>
              <w:rPr>
                <w:sz w:val="18"/>
                <w:szCs w:val="18"/>
              </w:rPr>
              <w:t>丝巾</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领带</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地毯</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蚕丝被</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其他</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adjustRightInd w:val="0"/>
        <w:snapToGrid w:val="0"/>
        <w:spacing w:line="60" w:lineRule="atLeast"/>
        <w:rPr>
          <w:sz w:val="18"/>
          <w:szCs w:val="18"/>
        </w:rPr>
      </w:pPr>
    </w:p>
    <w:p>
      <w:pPr>
        <w:adjustRightInd w:val="0"/>
        <w:snapToGrid w:val="0"/>
        <w:spacing w:line="60" w:lineRule="atLeast"/>
        <w:rPr>
          <w:sz w:val="18"/>
          <w:szCs w:val="18"/>
        </w:rPr>
      </w:pPr>
      <w:r>
        <w:rPr>
          <w:sz w:val="18"/>
          <w:szCs w:val="18"/>
        </w:rPr>
        <w:t>续表</w:t>
      </w:r>
    </w:p>
    <w:tbl>
      <w:tblPr>
        <w:tblStyle w:val="19"/>
        <w:tblW w:w="8223" w:type="dxa"/>
        <w:tblInd w:w="108" w:type="dxa"/>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805"/>
        <w:gridCol w:w="2100"/>
        <w:gridCol w:w="2312"/>
        <w:gridCol w:w="2006"/>
      </w:tblGrid>
      <w:tr>
        <w:tblPrEx>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trPr>
        <w:tc>
          <w:tcPr>
            <w:tcW w:w="1805"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生产量</w:t>
            </w:r>
          </w:p>
        </w:tc>
        <w:tc>
          <w:tcPr>
            <w:tcW w:w="2100"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内销额</w:t>
            </w:r>
          </w:p>
          <w:p>
            <w:pPr>
              <w:adjustRightInd w:val="0"/>
              <w:snapToGrid w:val="0"/>
              <w:spacing w:line="60" w:lineRule="atLeast"/>
              <w:jc w:val="center"/>
              <w:rPr>
                <w:sz w:val="18"/>
                <w:szCs w:val="18"/>
              </w:rPr>
            </w:pPr>
            <w:r>
              <w:rPr>
                <w:sz w:val="18"/>
                <w:szCs w:val="18"/>
              </w:rPr>
              <w:t>（千元）</w:t>
            </w:r>
          </w:p>
        </w:tc>
        <w:tc>
          <w:tcPr>
            <w:tcW w:w="2312"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外销额</w:t>
            </w:r>
          </w:p>
          <w:p>
            <w:pPr>
              <w:adjustRightInd w:val="0"/>
              <w:snapToGrid w:val="0"/>
              <w:spacing w:line="60" w:lineRule="atLeast"/>
              <w:jc w:val="center"/>
              <w:rPr>
                <w:sz w:val="18"/>
                <w:szCs w:val="18"/>
              </w:rPr>
            </w:pPr>
            <w:r>
              <w:rPr>
                <w:sz w:val="18"/>
                <w:szCs w:val="18"/>
              </w:rPr>
              <w:t>（千元）</w:t>
            </w:r>
          </w:p>
        </w:tc>
        <w:tc>
          <w:tcPr>
            <w:tcW w:w="2006"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库存量</w:t>
            </w:r>
          </w:p>
        </w:tc>
      </w:tr>
      <w:tr>
        <w:tblPrEx>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32" w:hRule="atLeast"/>
        </w:trPr>
        <w:tc>
          <w:tcPr>
            <w:tcW w:w="1805"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5</w:t>
            </w:r>
          </w:p>
        </w:tc>
        <w:tc>
          <w:tcPr>
            <w:tcW w:w="2100"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6</w:t>
            </w:r>
          </w:p>
        </w:tc>
        <w:tc>
          <w:tcPr>
            <w:tcW w:w="2312"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7</w:t>
            </w:r>
          </w:p>
        </w:tc>
        <w:tc>
          <w:tcPr>
            <w:tcW w:w="2006"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8</w:t>
            </w:r>
          </w:p>
        </w:tc>
      </w:tr>
    </w:tbl>
    <w:p>
      <w:pPr>
        <w:adjustRightInd w:val="0"/>
        <w:snapToGrid w:val="0"/>
        <w:spacing w:line="60" w:lineRule="atLeast"/>
        <w:rPr>
          <w:sz w:val="18"/>
          <w:szCs w:val="18"/>
        </w:rPr>
      </w:pPr>
    </w:p>
    <w:p>
      <w:pPr>
        <w:adjustRightInd w:val="0"/>
        <w:snapToGrid w:val="0"/>
        <w:spacing w:line="60" w:lineRule="atLeast"/>
        <w:ind w:firstLine="360" w:firstLineChars="200"/>
        <w:rPr>
          <w:sz w:val="18"/>
          <w:szCs w:val="18"/>
        </w:rPr>
      </w:pPr>
      <w:r>
        <w:rPr>
          <w:sz w:val="18"/>
          <w:szCs w:val="18"/>
        </w:rPr>
        <w:t>填报说明：上述坯绸、印染绸产品单价统一按幅宽114cm、重量16m/m折算。</w:t>
      </w:r>
    </w:p>
    <w:p>
      <w:pPr>
        <w:spacing w:line="60" w:lineRule="atLeast"/>
        <w:jc w:val="center"/>
        <w:rPr>
          <w:sz w:val="32"/>
          <w:szCs w:val="32"/>
        </w:rPr>
      </w:pPr>
      <w:r>
        <w:rPr>
          <w:sz w:val="32"/>
          <w:szCs w:val="32"/>
        </w:rPr>
        <w:t>全国茧丝绸行业市场监测日报表</w:t>
      </w:r>
    </w:p>
    <w:p>
      <w:pPr>
        <w:adjustRightInd w:val="0"/>
        <w:snapToGrid w:val="0"/>
        <w:spacing w:line="60" w:lineRule="atLeast"/>
        <w:ind w:left="6499" w:leftChars="2709" w:hanging="810" w:hangingChars="450"/>
        <w:jc w:val="left"/>
        <w:rPr>
          <w:sz w:val="18"/>
          <w:szCs w:val="18"/>
        </w:rPr>
      </w:pPr>
    </w:p>
    <w:p>
      <w:pPr>
        <w:adjustRightInd w:val="0"/>
        <w:snapToGrid w:val="0"/>
        <w:spacing w:line="60" w:lineRule="atLeast"/>
        <w:ind w:left="6499" w:leftChars="2709" w:hanging="810" w:hangingChars="450"/>
        <w:jc w:val="left"/>
        <w:rPr>
          <w:sz w:val="18"/>
          <w:szCs w:val="18"/>
        </w:rPr>
      </w:pPr>
      <w:r>
        <w:rPr>
          <w:sz w:val="18"/>
          <w:szCs w:val="18"/>
        </w:rPr>
        <w:t>表    号：</w:t>
      </w:r>
      <w:r>
        <w:rPr>
          <w:kern w:val="0"/>
          <w:sz w:val="18"/>
          <w:szCs w:val="18"/>
        </w:rPr>
        <w:t>产品3表</w:t>
      </w:r>
    </w:p>
    <w:p>
      <w:pPr>
        <w:adjustRightInd w:val="0"/>
        <w:snapToGrid w:val="0"/>
        <w:spacing w:line="60" w:lineRule="atLeast"/>
        <w:ind w:left="6499" w:leftChars="2709" w:hanging="810" w:hangingChars="450"/>
        <w:jc w:val="left"/>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企业名称：</w:t>
      </w:r>
      <w:r>
        <w:rPr>
          <w:sz w:val="18"/>
          <w:szCs w:val="18"/>
        </w:rPr>
        <w:t xml:space="preserve">                             </w:t>
      </w:r>
      <w:r>
        <w:rPr>
          <w:rFonts w:hint="eastAsia"/>
          <w:sz w:val="18"/>
          <w:szCs w:val="18"/>
        </w:rPr>
        <w:t xml:space="preserve">                       </w:t>
      </w:r>
      <w:r>
        <w:rPr>
          <w:sz w:val="18"/>
          <w:szCs w:val="18"/>
        </w:rPr>
        <w:t xml:space="preserve"> 有效期至：2018年</w:t>
      </w:r>
      <w:r>
        <w:rPr>
          <w:rFonts w:hint="eastAsia"/>
          <w:sz w:val="18"/>
          <w:szCs w:val="18"/>
          <w:lang w:val="en-US" w:eastAsia="zh-CN"/>
        </w:rPr>
        <w:t>5</w:t>
      </w:r>
      <w:r>
        <w:rPr>
          <w:sz w:val="18"/>
          <w:szCs w:val="18"/>
        </w:rPr>
        <w:t>月</w:t>
      </w:r>
    </w:p>
    <w:p>
      <w:pPr>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p>
    <w:p>
      <w:pPr>
        <w:jc w:val="center"/>
        <w:rPr>
          <w:sz w:val="18"/>
          <w:szCs w:val="18"/>
        </w:rPr>
      </w:pPr>
      <w:r>
        <w:rPr>
          <w:sz w:val="18"/>
          <w:szCs w:val="18"/>
        </w:rPr>
        <w:t>20  年  月  日</w:t>
      </w:r>
    </w:p>
    <w:tbl>
      <w:tblPr>
        <w:tblStyle w:val="19"/>
        <w:tblW w:w="7013" w:type="dxa"/>
        <w:tblInd w:w="0" w:type="dxa"/>
        <w:tblLayout w:type="fixed"/>
        <w:tblCellMar>
          <w:top w:w="0" w:type="dxa"/>
          <w:left w:w="108" w:type="dxa"/>
          <w:bottom w:w="0" w:type="dxa"/>
          <w:right w:w="108" w:type="dxa"/>
        </w:tblCellMar>
      </w:tblPr>
      <w:tblGrid>
        <w:gridCol w:w="1718"/>
        <w:gridCol w:w="1568"/>
        <w:gridCol w:w="709"/>
        <w:gridCol w:w="1701"/>
        <w:gridCol w:w="1317"/>
      </w:tblGrid>
      <w:tr>
        <w:tblPrEx>
          <w:tblLayout w:type="fixed"/>
          <w:tblCellMar>
            <w:top w:w="0" w:type="dxa"/>
            <w:left w:w="108" w:type="dxa"/>
            <w:bottom w:w="0" w:type="dxa"/>
            <w:right w:w="108" w:type="dxa"/>
          </w:tblCellMar>
        </w:tblPrEx>
        <w:trPr>
          <w:trHeight w:val="1088" w:hRule="atLeast"/>
        </w:trPr>
        <w:tc>
          <w:tcPr>
            <w:tcW w:w="1718" w:type="dxa"/>
            <w:tcBorders>
              <w:top w:val="single" w:color="auto" w:sz="8" w:space="0"/>
              <w:bottom w:val="single" w:color="auto" w:sz="4" w:space="0"/>
              <w:right w:val="single" w:color="auto" w:sz="4" w:space="0"/>
            </w:tcBorders>
            <w:vAlign w:val="center"/>
          </w:tcPr>
          <w:p>
            <w:pPr>
              <w:widowControl/>
              <w:jc w:val="center"/>
              <w:rPr>
                <w:kern w:val="0"/>
                <w:sz w:val="18"/>
                <w:szCs w:val="18"/>
              </w:rPr>
            </w:pPr>
            <w:r>
              <w:rPr>
                <w:kern w:val="0"/>
                <w:sz w:val="18"/>
                <w:szCs w:val="18"/>
              </w:rPr>
              <w:t>材料类别</w:t>
            </w:r>
          </w:p>
        </w:tc>
        <w:tc>
          <w:tcPr>
            <w:tcW w:w="1568"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规格名称</w:t>
            </w:r>
          </w:p>
        </w:tc>
        <w:tc>
          <w:tcPr>
            <w:tcW w:w="709" w:type="dxa"/>
            <w:tcBorders>
              <w:top w:val="single" w:color="auto" w:sz="4" w:space="0"/>
              <w:left w:val="single" w:color="auto" w:sz="4" w:space="0"/>
              <w:right w:val="single" w:color="auto" w:sz="4" w:space="0"/>
            </w:tcBorders>
            <w:vAlign w:val="center"/>
          </w:tcPr>
          <w:p>
            <w:pPr>
              <w:widowControl/>
              <w:jc w:val="center"/>
              <w:rPr>
                <w:kern w:val="0"/>
                <w:sz w:val="18"/>
                <w:szCs w:val="18"/>
              </w:rPr>
            </w:pPr>
            <w:r>
              <w:rPr>
                <w:kern w:val="0"/>
                <w:sz w:val="18"/>
                <w:szCs w:val="18"/>
              </w:rPr>
              <w:t>代码</w:t>
            </w:r>
          </w:p>
        </w:tc>
        <w:tc>
          <w:tcPr>
            <w:tcW w:w="1701"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收购价格</w:t>
            </w:r>
            <w:r>
              <w:rPr>
                <w:sz w:val="18"/>
                <w:szCs w:val="18"/>
              </w:rPr>
              <w:t>（元</w:t>
            </w:r>
            <w:r>
              <w:rPr>
                <w:rFonts w:hint="eastAsia"/>
                <w:sz w:val="18"/>
                <w:szCs w:val="18"/>
              </w:rPr>
              <w:t>/公斤</w:t>
            </w:r>
            <w:r>
              <w:rPr>
                <w:sz w:val="18"/>
                <w:szCs w:val="18"/>
              </w:rPr>
              <w:t>）</w:t>
            </w:r>
          </w:p>
        </w:tc>
        <w:tc>
          <w:tcPr>
            <w:tcW w:w="1317" w:type="dxa"/>
            <w:tcBorders>
              <w:top w:val="single" w:color="auto" w:sz="8" w:space="0"/>
              <w:left w:val="single" w:color="auto" w:sz="4" w:space="0"/>
              <w:bottom w:val="single" w:color="000000" w:sz="4" w:space="0"/>
            </w:tcBorders>
            <w:vAlign w:val="center"/>
          </w:tcPr>
          <w:p>
            <w:pPr>
              <w:widowControl/>
              <w:jc w:val="center"/>
              <w:rPr>
                <w:kern w:val="0"/>
                <w:sz w:val="18"/>
                <w:szCs w:val="18"/>
              </w:rPr>
            </w:pPr>
            <w:r>
              <w:rPr>
                <w:kern w:val="0"/>
                <w:sz w:val="18"/>
                <w:szCs w:val="18"/>
              </w:rPr>
              <w:t>收购量</w:t>
            </w:r>
            <w:r>
              <w:rPr>
                <w:rFonts w:hint="eastAsia"/>
                <w:kern w:val="0"/>
                <w:sz w:val="18"/>
                <w:szCs w:val="18"/>
              </w:rPr>
              <w:t>（公斤）</w:t>
            </w:r>
          </w:p>
        </w:tc>
      </w:tr>
      <w:tr>
        <w:tblPrEx>
          <w:tblLayout w:type="fixed"/>
          <w:tblCellMar>
            <w:top w:w="0" w:type="dxa"/>
            <w:left w:w="108" w:type="dxa"/>
            <w:bottom w:w="0" w:type="dxa"/>
            <w:right w:w="108" w:type="dxa"/>
          </w:tblCellMar>
        </w:tblPrEx>
        <w:trPr>
          <w:trHeight w:val="436" w:hRule="atLeast"/>
        </w:trPr>
        <w:tc>
          <w:tcPr>
            <w:tcW w:w="1718" w:type="dxa"/>
            <w:tcBorders>
              <w:top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甲</w:t>
            </w:r>
          </w:p>
        </w:tc>
        <w:tc>
          <w:tcPr>
            <w:tcW w:w="1568"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乙</w:t>
            </w:r>
          </w:p>
        </w:tc>
        <w:tc>
          <w:tcPr>
            <w:tcW w:w="709"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丙</w:t>
            </w:r>
          </w:p>
        </w:tc>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1</w:t>
            </w:r>
          </w:p>
        </w:tc>
        <w:tc>
          <w:tcPr>
            <w:tcW w:w="1317" w:type="dxa"/>
            <w:tcBorders>
              <w:top w:val="nil"/>
              <w:left w:val="nil"/>
              <w:bottom w:val="single" w:color="auto" w:sz="4" w:space="0"/>
            </w:tcBorders>
            <w:vAlign w:val="center"/>
          </w:tcPr>
          <w:p>
            <w:pPr>
              <w:widowControl/>
              <w:jc w:val="center"/>
              <w:rPr>
                <w:kern w:val="0"/>
                <w:sz w:val="18"/>
                <w:szCs w:val="18"/>
              </w:rPr>
            </w:pPr>
            <w:r>
              <w:rPr>
                <w:rFonts w:hint="eastAsia"/>
                <w:kern w:val="0"/>
                <w:sz w:val="18"/>
                <w:szCs w:val="18"/>
              </w:rPr>
              <w:t>2</w:t>
            </w:r>
          </w:p>
        </w:tc>
      </w:tr>
      <w:tr>
        <w:tblPrEx>
          <w:tblLayout w:type="fixed"/>
          <w:tblCellMar>
            <w:top w:w="0" w:type="dxa"/>
            <w:left w:w="108" w:type="dxa"/>
            <w:bottom w:w="0" w:type="dxa"/>
            <w:right w:w="108" w:type="dxa"/>
          </w:tblCellMar>
        </w:tblPrEx>
        <w:trPr>
          <w:trHeight w:val="724" w:hRule="atLeast"/>
        </w:trPr>
        <w:tc>
          <w:tcPr>
            <w:tcW w:w="1718" w:type="dxa"/>
            <w:tcBorders>
              <w:top w:val="nil"/>
              <w:bottom w:val="single" w:color="auto" w:sz="4" w:space="0"/>
              <w:right w:val="single" w:color="auto" w:sz="4" w:space="0"/>
            </w:tcBorders>
            <w:vAlign w:val="center"/>
          </w:tcPr>
          <w:p>
            <w:pPr>
              <w:widowControl/>
              <w:jc w:val="center"/>
              <w:rPr>
                <w:kern w:val="0"/>
                <w:sz w:val="18"/>
                <w:szCs w:val="18"/>
              </w:rPr>
            </w:pPr>
            <w:r>
              <w:rPr>
                <w:kern w:val="0"/>
                <w:sz w:val="18"/>
                <w:szCs w:val="18"/>
              </w:rPr>
              <w:t>蚕茧</w:t>
            </w:r>
          </w:p>
        </w:tc>
        <w:tc>
          <w:tcPr>
            <w:tcW w:w="1568"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鲜茧</w:t>
            </w:r>
          </w:p>
        </w:tc>
        <w:tc>
          <w:tcPr>
            <w:tcW w:w="709"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7</w:t>
            </w:r>
            <w:r>
              <w:rPr>
                <w:kern w:val="0"/>
                <w:sz w:val="18"/>
                <w:szCs w:val="18"/>
              </w:rPr>
              <w:t>01</w:t>
            </w:r>
          </w:p>
        </w:tc>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317" w:type="dxa"/>
            <w:tcBorders>
              <w:top w:val="nil"/>
              <w:left w:val="nil"/>
              <w:bottom w:val="single" w:color="auto" w:sz="4" w:space="0"/>
            </w:tcBorders>
            <w:vAlign w:val="center"/>
          </w:tcPr>
          <w:p>
            <w:pPr>
              <w:widowControl/>
              <w:jc w:val="center"/>
              <w:rPr>
                <w:kern w:val="0"/>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60" w:lineRule="atLeast"/>
        <w:rPr>
          <w:sz w:val="32"/>
          <w:szCs w:val="32"/>
        </w:rPr>
      </w:pPr>
      <w:bookmarkStart w:id="9" w:name="_Toc24997"/>
      <w:bookmarkStart w:id="10" w:name="_Toc438208248"/>
    </w:p>
    <w:p>
      <w:pPr>
        <w:spacing w:line="60" w:lineRule="atLeast"/>
        <w:jc w:val="center"/>
        <w:rPr>
          <w:sz w:val="32"/>
          <w:szCs w:val="32"/>
        </w:rPr>
      </w:pPr>
      <w:r>
        <w:rPr>
          <w:sz w:val="32"/>
          <w:szCs w:val="32"/>
        </w:rPr>
        <w:t>全国丝绸营销企业产品销售月报表</w:t>
      </w:r>
      <w:bookmarkEnd w:id="9"/>
      <w:bookmarkEnd w:id="10"/>
    </w:p>
    <w:p>
      <w:pPr>
        <w:widowControl/>
        <w:snapToGrid w:val="0"/>
        <w:jc w:val="center"/>
        <w:rPr>
          <w:kern w:val="0"/>
        </w:rPr>
      </w:pPr>
    </w:p>
    <w:p>
      <w:pPr>
        <w:adjustRightInd w:val="0"/>
        <w:snapToGrid w:val="0"/>
        <w:spacing w:line="60" w:lineRule="atLeast"/>
        <w:ind w:firstLine="5670" w:firstLineChars="3150"/>
        <w:rPr>
          <w:sz w:val="18"/>
          <w:szCs w:val="18"/>
        </w:rPr>
      </w:pPr>
      <w:r>
        <w:rPr>
          <w:sz w:val="18"/>
          <w:szCs w:val="18"/>
        </w:rPr>
        <w:t>表    号：</w:t>
      </w:r>
      <w:r>
        <w:rPr>
          <w:rFonts w:hint="eastAsia"/>
          <w:kern w:val="0"/>
          <w:sz w:val="18"/>
          <w:szCs w:val="18"/>
        </w:rPr>
        <w:t>产品4</w:t>
      </w:r>
      <w:r>
        <w:rPr>
          <w:kern w:val="0"/>
          <w:sz w:val="18"/>
          <w:szCs w:val="18"/>
        </w:rPr>
        <w:t>表</w:t>
      </w:r>
    </w:p>
    <w:p>
      <w:pPr>
        <w:adjustRightInd w:val="0"/>
        <w:snapToGrid w:val="0"/>
        <w:spacing w:line="60" w:lineRule="atLeast"/>
        <w:ind w:left="720"/>
        <w:rPr>
          <w:sz w:val="18"/>
          <w:szCs w:val="18"/>
        </w:rPr>
      </w:pPr>
      <w:r>
        <w:rPr>
          <w:sz w:val="18"/>
          <w:szCs w:val="18"/>
        </w:rPr>
        <w:t xml:space="preserve">                                                       制表机关：商务部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批准机关：国家统计局</w:t>
      </w:r>
    </w:p>
    <w:p>
      <w:pPr>
        <w:jc w:val="left"/>
        <w:rPr>
          <w:rFonts w:ascii="宋体" w:hAnsi="宋体"/>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jc w:val="center"/>
        <w:rPr>
          <w:sz w:val="18"/>
          <w:szCs w:val="18"/>
        </w:rPr>
      </w:pPr>
    </w:p>
    <w:p>
      <w:pPr>
        <w:adjustRightInd w:val="0"/>
        <w:snapToGrid w:val="0"/>
        <w:spacing w:line="60" w:lineRule="atLeast"/>
        <w:jc w:val="center"/>
        <w:rPr>
          <w:sz w:val="18"/>
          <w:szCs w:val="18"/>
        </w:rPr>
      </w:pPr>
      <w:r>
        <w:rPr>
          <w:sz w:val="18"/>
          <w:szCs w:val="18"/>
        </w:rPr>
        <w:t>20    年   月</w:t>
      </w:r>
    </w:p>
    <w:tbl>
      <w:tblPr>
        <w:tblStyle w:val="19"/>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95"/>
        <w:gridCol w:w="689"/>
        <w:gridCol w:w="643"/>
        <w:gridCol w:w="643"/>
        <w:gridCol w:w="644"/>
        <w:gridCol w:w="821"/>
        <w:gridCol w:w="679"/>
        <w:gridCol w:w="556"/>
        <w:gridCol w:w="837"/>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blHeader/>
          <w:jc w:val="center"/>
        </w:trPr>
        <w:tc>
          <w:tcPr>
            <w:tcW w:w="703" w:type="dxa"/>
            <w:tcBorders>
              <w:top w:val="single" w:color="auto" w:sz="8" w:space="0"/>
              <w:left w:val="nil"/>
            </w:tcBorders>
            <w:vAlign w:val="center"/>
          </w:tcPr>
          <w:p>
            <w:pPr>
              <w:rPr>
                <w:sz w:val="18"/>
                <w:szCs w:val="18"/>
              </w:rPr>
            </w:pPr>
            <w:r>
              <w:rPr>
                <w:sz w:val="18"/>
                <w:szCs w:val="18"/>
              </w:rPr>
              <w:t>材料</w:t>
            </w:r>
          </w:p>
          <w:p>
            <w:pPr>
              <w:rPr>
                <w:sz w:val="18"/>
                <w:szCs w:val="18"/>
              </w:rPr>
            </w:pPr>
            <w:r>
              <w:rPr>
                <w:sz w:val="18"/>
                <w:szCs w:val="18"/>
              </w:rPr>
              <w:t>类别</w:t>
            </w:r>
          </w:p>
        </w:tc>
        <w:tc>
          <w:tcPr>
            <w:tcW w:w="1695" w:type="dxa"/>
            <w:tcBorders>
              <w:top w:val="single" w:color="auto" w:sz="8" w:space="0"/>
            </w:tcBorders>
            <w:vAlign w:val="center"/>
          </w:tcPr>
          <w:p>
            <w:pPr>
              <w:jc w:val="center"/>
              <w:rPr>
                <w:sz w:val="18"/>
                <w:szCs w:val="18"/>
              </w:rPr>
            </w:pPr>
            <w:r>
              <w:rPr>
                <w:sz w:val="18"/>
                <w:szCs w:val="18"/>
              </w:rPr>
              <w:t>规格名称</w:t>
            </w:r>
          </w:p>
        </w:tc>
        <w:tc>
          <w:tcPr>
            <w:tcW w:w="689" w:type="dxa"/>
            <w:tcBorders>
              <w:top w:val="single" w:color="auto" w:sz="8" w:space="0"/>
            </w:tcBorders>
            <w:vAlign w:val="center"/>
          </w:tcPr>
          <w:p>
            <w:pPr>
              <w:jc w:val="center"/>
              <w:rPr>
                <w:sz w:val="18"/>
                <w:szCs w:val="18"/>
              </w:rPr>
            </w:pPr>
            <w:r>
              <w:rPr>
                <w:sz w:val="18"/>
                <w:szCs w:val="18"/>
              </w:rPr>
              <w:t>计量</w:t>
            </w:r>
          </w:p>
          <w:p>
            <w:pPr>
              <w:jc w:val="center"/>
              <w:rPr>
                <w:sz w:val="18"/>
                <w:szCs w:val="18"/>
              </w:rPr>
            </w:pPr>
            <w:r>
              <w:rPr>
                <w:sz w:val="18"/>
                <w:szCs w:val="18"/>
              </w:rPr>
              <w:t>单位</w:t>
            </w:r>
          </w:p>
        </w:tc>
        <w:tc>
          <w:tcPr>
            <w:tcW w:w="643" w:type="dxa"/>
            <w:tcBorders>
              <w:top w:val="single" w:color="auto" w:sz="8" w:space="0"/>
            </w:tcBorders>
            <w:vAlign w:val="center"/>
          </w:tcPr>
          <w:p>
            <w:pPr>
              <w:jc w:val="center"/>
              <w:rPr>
                <w:sz w:val="18"/>
                <w:szCs w:val="18"/>
              </w:rPr>
            </w:pPr>
            <w:r>
              <w:rPr>
                <w:rFonts w:hint="eastAsia"/>
                <w:sz w:val="18"/>
                <w:szCs w:val="18"/>
              </w:rPr>
              <w:t>代码</w:t>
            </w:r>
          </w:p>
        </w:tc>
        <w:tc>
          <w:tcPr>
            <w:tcW w:w="643" w:type="dxa"/>
            <w:tcBorders>
              <w:top w:val="single" w:color="auto" w:sz="8" w:space="0"/>
            </w:tcBorders>
            <w:vAlign w:val="center"/>
          </w:tcPr>
          <w:p>
            <w:pPr>
              <w:jc w:val="center"/>
              <w:rPr>
                <w:sz w:val="18"/>
                <w:szCs w:val="18"/>
              </w:rPr>
            </w:pPr>
            <w:r>
              <w:rPr>
                <w:rFonts w:hint="eastAsia"/>
                <w:sz w:val="18"/>
                <w:szCs w:val="18"/>
              </w:rPr>
              <w:t>出口</w:t>
            </w:r>
          </w:p>
          <w:p>
            <w:pPr>
              <w:jc w:val="center"/>
              <w:rPr>
                <w:sz w:val="18"/>
                <w:szCs w:val="18"/>
              </w:rPr>
            </w:pPr>
            <w:r>
              <w:rPr>
                <w:rFonts w:hint="eastAsia"/>
                <w:sz w:val="18"/>
                <w:szCs w:val="18"/>
              </w:rPr>
              <w:t>价格</w:t>
            </w:r>
          </w:p>
          <w:p>
            <w:pPr>
              <w:jc w:val="center"/>
              <w:rPr>
                <w:sz w:val="18"/>
                <w:szCs w:val="18"/>
              </w:rPr>
            </w:pPr>
            <w:r>
              <w:rPr>
                <w:rFonts w:hint="eastAsia"/>
                <w:sz w:val="18"/>
                <w:szCs w:val="18"/>
              </w:rPr>
              <w:t>（元/米/件（套））</w:t>
            </w:r>
          </w:p>
        </w:tc>
        <w:tc>
          <w:tcPr>
            <w:tcW w:w="644" w:type="dxa"/>
            <w:tcBorders>
              <w:top w:val="single" w:color="auto" w:sz="8" w:space="0"/>
            </w:tcBorders>
            <w:vAlign w:val="center"/>
          </w:tcPr>
          <w:p>
            <w:pPr>
              <w:jc w:val="center"/>
              <w:rPr>
                <w:sz w:val="18"/>
                <w:szCs w:val="18"/>
              </w:rPr>
            </w:pPr>
            <w:r>
              <w:rPr>
                <w:sz w:val="18"/>
                <w:szCs w:val="18"/>
              </w:rPr>
              <w:t>出口量</w:t>
            </w:r>
          </w:p>
        </w:tc>
        <w:tc>
          <w:tcPr>
            <w:tcW w:w="821" w:type="dxa"/>
            <w:tcBorders>
              <w:top w:val="single" w:color="auto" w:sz="8" w:space="0"/>
            </w:tcBorders>
            <w:vAlign w:val="center"/>
          </w:tcPr>
          <w:p>
            <w:pPr>
              <w:jc w:val="center"/>
              <w:rPr>
                <w:sz w:val="18"/>
                <w:szCs w:val="18"/>
              </w:rPr>
            </w:pPr>
            <w:r>
              <w:rPr>
                <w:sz w:val="18"/>
                <w:szCs w:val="18"/>
              </w:rPr>
              <w:t>出口额</w:t>
            </w:r>
          </w:p>
          <w:p>
            <w:pPr>
              <w:jc w:val="center"/>
              <w:rPr>
                <w:sz w:val="18"/>
                <w:szCs w:val="18"/>
              </w:rPr>
            </w:pPr>
            <w:r>
              <w:rPr>
                <w:sz w:val="18"/>
                <w:szCs w:val="18"/>
              </w:rPr>
              <w:t>（千元）</w:t>
            </w:r>
          </w:p>
        </w:tc>
        <w:tc>
          <w:tcPr>
            <w:tcW w:w="679" w:type="dxa"/>
            <w:tcBorders>
              <w:top w:val="single" w:color="auto" w:sz="8" w:space="0"/>
            </w:tcBorders>
            <w:vAlign w:val="center"/>
          </w:tcPr>
          <w:p>
            <w:pPr>
              <w:jc w:val="center"/>
              <w:rPr>
                <w:sz w:val="18"/>
                <w:szCs w:val="18"/>
              </w:rPr>
            </w:pPr>
            <w:r>
              <w:rPr>
                <w:rFonts w:hint="eastAsia"/>
                <w:sz w:val="18"/>
                <w:szCs w:val="18"/>
              </w:rPr>
              <w:t>内销价格（元米/件（套））</w:t>
            </w:r>
          </w:p>
        </w:tc>
        <w:tc>
          <w:tcPr>
            <w:tcW w:w="556" w:type="dxa"/>
            <w:tcBorders>
              <w:top w:val="single" w:color="auto" w:sz="8" w:space="0"/>
            </w:tcBorders>
            <w:vAlign w:val="center"/>
          </w:tcPr>
          <w:p>
            <w:pPr>
              <w:jc w:val="center"/>
              <w:rPr>
                <w:sz w:val="18"/>
                <w:szCs w:val="18"/>
              </w:rPr>
            </w:pPr>
            <w:r>
              <w:rPr>
                <w:sz w:val="18"/>
                <w:szCs w:val="18"/>
              </w:rPr>
              <w:t>内销量</w:t>
            </w:r>
          </w:p>
        </w:tc>
        <w:tc>
          <w:tcPr>
            <w:tcW w:w="837" w:type="dxa"/>
            <w:tcBorders>
              <w:top w:val="single" w:color="auto" w:sz="8" w:space="0"/>
            </w:tcBorders>
            <w:vAlign w:val="center"/>
          </w:tcPr>
          <w:p>
            <w:pPr>
              <w:jc w:val="center"/>
              <w:rPr>
                <w:sz w:val="18"/>
                <w:szCs w:val="18"/>
              </w:rPr>
            </w:pPr>
            <w:r>
              <w:rPr>
                <w:sz w:val="18"/>
                <w:szCs w:val="18"/>
              </w:rPr>
              <w:t>内销额</w:t>
            </w:r>
            <w:r>
              <w:rPr>
                <w:rFonts w:hint="eastAsia"/>
                <w:sz w:val="18"/>
                <w:szCs w:val="18"/>
              </w:rPr>
              <w:t>（</w:t>
            </w:r>
            <w:r>
              <w:rPr>
                <w:sz w:val="18"/>
                <w:szCs w:val="18"/>
              </w:rPr>
              <w:t>千元）</w:t>
            </w:r>
          </w:p>
        </w:tc>
        <w:tc>
          <w:tcPr>
            <w:tcW w:w="516" w:type="dxa"/>
            <w:tcBorders>
              <w:top w:val="single" w:color="auto" w:sz="8" w:space="0"/>
              <w:right w:val="nil"/>
            </w:tcBorders>
            <w:vAlign w:val="center"/>
          </w:tcPr>
          <w:p>
            <w:pPr>
              <w:jc w:val="center"/>
              <w:rPr>
                <w:sz w:val="18"/>
                <w:szCs w:val="18"/>
              </w:rPr>
            </w:pPr>
            <w:r>
              <w:rPr>
                <w:sz w:val="18"/>
                <w:szCs w:val="18"/>
              </w:rPr>
              <w:t>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398" w:type="dxa"/>
            <w:gridSpan w:val="2"/>
            <w:tcBorders>
              <w:left w:val="nil"/>
            </w:tcBorders>
            <w:vAlign w:val="center"/>
          </w:tcPr>
          <w:p>
            <w:pPr>
              <w:jc w:val="center"/>
              <w:rPr>
                <w:sz w:val="18"/>
                <w:szCs w:val="18"/>
              </w:rPr>
            </w:pPr>
            <w:r>
              <w:rPr>
                <w:rFonts w:hint="eastAsia"/>
                <w:sz w:val="18"/>
                <w:szCs w:val="18"/>
              </w:rPr>
              <w:t>甲</w:t>
            </w:r>
          </w:p>
        </w:tc>
        <w:tc>
          <w:tcPr>
            <w:tcW w:w="689" w:type="dxa"/>
            <w:vAlign w:val="center"/>
          </w:tcPr>
          <w:p>
            <w:pPr>
              <w:jc w:val="center"/>
              <w:rPr>
                <w:sz w:val="18"/>
                <w:szCs w:val="18"/>
              </w:rPr>
            </w:pPr>
            <w:r>
              <w:rPr>
                <w:rFonts w:hint="eastAsia"/>
                <w:sz w:val="18"/>
                <w:szCs w:val="18"/>
              </w:rPr>
              <w:t>乙</w:t>
            </w:r>
          </w:p>
        </w:tc>
        <w:tc>
          <w:tcPr>
            <w:tcW w:w="643" w:type="dxa"/>
            <w:vAlign w:val="center"/>
          </w:tcPr>
          <w:p>
            <w:pPr>
              <w:jc w:val="center"/>
              <w:rPr>
                <w:sz w:val="18"/>
                <w:szCs w:val="18"/>
              </w:rPr>
            </w:pPr>
            <w:r>
              <w:rPr>
                <w:rFonts w:hint="eastAsia"/>
                <w:sz w:val="18"/>
                <w:szCs w:val="18"/>
              </w:rPr>
              <w:t>丙</w:t>
            </w:r>
          </w:p>
        </w:tc>
        <w:tc>
          <w:tcPr>
            <w:tcW w:w="643" w:type="dxa"/>
            <w:vAlign w:val="center"/>
          </w:tcPr>
          <w:p>
            <w:pPr>
              <w:jc w:val="center"/>
              <w:rPr>
                <w:sz w:val="18"/>
                <w:szCs w:val="18"/>
              </w:rPr>
            </w:pPr>
            <w:r>
              <w:rPr>
                <w:rFonts w:hint="eastAsia"/>
                <w:sz w:val="18"/>
                <w:szCs w:val="18"/>
              </w:rPr>
              <w:t>1</w:t>
            </w:r>
          </w:p>
        </w:tc>
        <w:tc>
          <w:tcPr>
            <w:tcW w:w="644" w:type="dxa"/>
            <w:vAlign w:val="center"/>
          </w:tcPr>
          <w:p>
            <w:pPr>
              <w:jc w:val="center"/>
              <w:rPr>
                <w:sz w:val="18"/>
                <w:szCs w:val="18"/>
              </w:rPr>
            </w:pPr>
            <w:r>
              <w:rPr>
                <w:rFonts w:hint="eastAsia"/>
                <w:sz w:val="18"/>
                <w:szCs w:val="18"/>
              </w:rPr>
              <w:t>2</w:t>
            </w:r>
          </w:p>
        </w:tc>
        <w:tc>
          <w:tcPr>
            <w:tcW w:w="821" w:type="dxa"/>
            <w:vAlign w:val="center"/>
          </w:tcPr>
          <w:p>
            <w:pPr>
              <w:jc w:val="center"/>
              <w:rPr>
                <w:sz w:val="18"/>
                <w:szCs w:val="18"/>
              </w:rPr>
            </w:pPr>
            <w:r>
              <w:rPr>
                <w:rFonts w:hint="eastAsia"/>
                <w:sz w:val="18"/>
                <w:szCs w:val="18"/>
              </w:rPr>
              <w:t>3</w:t>
            </w:r>
          </w:p>
        </w:tc>
        <w:tc>
          <w:tcPr>
            <w:tcW w:w="679" w:type="dxa"/>
            <w:vAlign w:val="center"/>
          </w:tcPr>
          <w:p>
            <w:pPr>
              <w:jc w:val="center"/>
              <w:rPr>
                <w:sz w:val="18"/>
                <w:szCs w:val="18"/>
              </w:rPr>
            </w:pPr>
            <w:r>
              <w:rPr>
                <w:rFonts w:hint="eastAsia"/>
                <w:sz w:val="18"/>
                <w:szCs w:val="18"/>
              </w:rPr>
              <w:t>4</w:t>
            </w:r>
          </w:p>
        </w:tc>
        <w:tc>
          <w:tcPr>
            <w:tcW w:w="556" w:type="dxa"/>
            <w:vAlign w:val="center"/>
          </w:tcPr>
          <w:p>
            <w:pPr>
              <w:jc w:val="center"/>
              <w:rPr>
                <w:sz w:val="18"/>
                <w:szCs w:val="18"/>
              </w:rPr>
            </w:pPr>
            <w:r>
              <w:rPr>
                <w:rFonts w:hint="eastAsia"/>
                <w:sz w:val="18"/>
                <w:szCs w:val="18"/>
              </w:rPr>
              <w:t>5</w:t>
            </w:r>
          </w:p>
        </w:tc>
        <w:tc>
          <w:tcPr>
            <w:tcW w:w="837" w:type="dxa"/>
            <w:vAlign w:val="center"/>
          </w:tcPr>
          <w:p>
            <w:pPr>
              <w:jc w:val="center"/>
              <w:rPr>
                <w:sz w:val="18"/>
                <w:szCs w:val="18"/>
              </w:rPr>
            </w:pPr>
            <w:r>
              <w:rPr>
                <w:rFonts w:hint="eastAsia"/>
                <w:sz w:val="18"/>
                <w:szCs w:val="18"/>
              </w:rPr>
              <w:t>6</w:t>
            </w:r>
          </w:p>
        </w:tc>
        <w:tc>
          <w:tcPr>
            <w:tcW w:w="516" w:type="dxa"/>
            <w:tcBorders>
              <w:right w:val="nil"/>
            </w:tcBorders>
            <w:vAlign w:val="center"/>
          </w:tcPr>
          <w:p>
            <w:pPr>
              <w:jc w:val="center"/>
              <w:rPr>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398" w:type="dxa"/>
            <w:gridSpan w:val="2"/>
            <w:tcBorders>
              <w:left w:val="nil"/>
            </w:tcBorders>
            <w:vAlign w:val="center"/>
          </w:tcPr>
          <w:p>
            <w:pPr>
              <w:rPr>
                <w:sz w:val="18"/>
                <w:szCs w:val="18"/>
              </w:rPr>
            </w:pPr>
            <w:r>
              <w:rPr>
                <w:sz w:val="18"/>
                <w:szCs w:val="18"/>
              </w:rPr>
              <w:t>月度销售总计</w:t>
            </w:r>
          </w:p>
        </w:tc>
        <w:tc>
          <w:tcPr>
            <w:tcW w:w="689" w:type="dxa"/>
            <w:vAlign w:val="center"/>
          </w:tcPr>
          <w:p>
            <w:pPr>
              <w:jc w:val="center"/>
              <w:rPr>
                <w:sz w:val="18"/>
                <w:szCs w:val="18"/>
              </w:rPr>
            </w:pPr>
            <w:r>
              <w:rPr>
                <w:sz w:val="18"/>
                <w:szCs w:val="18"/>
              </w:rPr>
              <w:t>千元</w:t>
            </w:r>
          </w:p>
        </w:tc>
        <w:tc>
          <w:tcPr>
            <w:tcW w:w="643" w:type="dxa"/>
            <w:vAlign w:val="center"/>
          </w:tcPr>
          <w:p>
            <w:pPr>
              <w:jc w:val="center"/>
              <w:rPr>
                <w:sz w:val="18"/>
                <w:szCs w:val="18"/>
              </w:rPr>
            </w:pPr>
            <w:r>
              <w:rPr>
                <w:rFonts w:hint="eastAsia"/>
                <w:sz w:val="18"/>
                <w:szCs w:val="18"/>
              </w:rPr>
              <w:t>801</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r>
              <w:rPr>
                <w:sz w:val="18"/>
                <w:szCs w:val="18"/>
              </w:rPr>
              <w:t>—</w:t>
            </w: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r>
              <w:rPr>
                <w:sz w:val="18"/>
                <w:szCs w:val="18"/>
              </w:rPr>
              <w:t>—</w:t>
            </w: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398" w:type="dxa"/>
            <w:gridSpan w:val="2"/>
            <w:tcBorders>
              <w:left w:val="nil"/>
            </w:tcBorders>
            <w:vAlign w:val="center"/>
          </w:tcPr>
          <w:p>
            <w:pPr>
              <w:jc w:val="center"/>
              <w:rPr>
                <w:sz w:val="18"/>
                <w:szCs w:val="18"/>
              </w:rPr>
            </w:pPr>
            <w:r>
              <w:rPr>
                <w:sz w:val="18"/>
                <w:szCs w:val="18"/>
              </w:rPr>
              <w:t xml:space="preserve">    其中</w:t>
            </w:r>
            <w:r>
              <w:rPr>
                <w:rFonts w:hint="eastAsia"/>
                <w:sz w:val="18"/>
                <w:szCs w:val="18"/>
              </w:rPr>
              <w:t>：</w:t>
            </w:r>
            <w:r>
              <w:rPr>
                <w:sz w:val="18"/>
                <w:szCs w:val="18"/>
              </w:rPr>
              <w:t>在线销售</w:t>
            </w:r>
          </w:p>
        </w:tc>
        <w:tc>
          <w:tcPr>
            <w:tcW w:w="689" w:type="dxa"/>
            <w:vAlign w:val="center"/>
          </w:tcPr>
          <w:p>
            <w:pPr>
              <w:jc w:val="center"/>
              <w:rPr>
                <w:sz w:val="18"/>
                <w:szCs w:val="18"/>
              </w:rPr>
            </w:pPr>
            <w:r>
              <w:rPr>
                <w:sz w:val="18"/>
                <w:szCs w:val="18"/>
              </w:rPr>
              <w:t>千元</w:t>
            </w:r>
          </w:p>
        </w:tc>
        <w:tc>
          <w:tcPr>
            <w:tcW w:w="643" w:type="dxa"/>
            <w:vAlign w:val="center"/>
          </w:tcPr>
          <w:p>
            <w:pPr>
              <w:jc w:val="center"/>
              <w:rPr>
                <w:sz w:val="18"/>
                <w:szCs w:val="18"/>
              </w:rPr>
            </w:pPr>
            <w:r>
              <w:rPr>
                <w:rFonts w:hint="eastAsia"/>
                <w:sz w:val="18"/>
                <w:szCs w:val="18"/>
              </w:rPr>
              <w:t>802</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r>
              <w:rPr>
                <w:sz w:val="18"/>
                <w:szCs w:val="18"/>
              </w:rPr>
              <w:t>—</w:t>
            </w: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r>
              <w:rPr>
                <w:sz w:val="18"/>
                <w:szCs w:val="18"/>
              </w:rPr>
              <w:t>—</w:t>
            </w: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面料</w:t>
            </w:r>
          </w:p>
        </w:tc>
        <w:tc>
          <w:tcPr>
            <w:tcW w:w="1695" w:type="dxa"/>
            <w:vAlign w:val="center"/>
          </w:tcPr>
          <w:p>
            <w:pPr>
              <w:rPr>
                <w:sz w:val="18"/>
                <w:szCs w:val="18"/>
              </w:rPr>
            </w:pPr>
            <w:r>
              <w:rPr>
                <w:sz w:val="18"/>
                <w:szCs w:val="18"/>
              </w:rPr>
              <w:t>真丝绸缎总计</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803</w:t>
            </w:r>
          </w:p>
        </w:tc>
        <w:tc>
          <w:tcPr>
            <w:tcW w:w="643" w:type="dxa"/>
          </w:tcPr>
          <w:p>
            <w:pPr>
              <w:jc w:val="center"/>
              <w:rPr>
                <w:sz w:val="18"/>
                <w:szCs w:val="18"/>
              </w:rPr>
            </w:pPr>
            <w:r>
              <w:rPr>
                <w:sz w:val="18"/>
                <w:szCs w:val="18"/>
              </w:rPr>
              <w:t>—</w:t>
            </w: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270" w:firstLineChars="150"/>
              <w:rPr>
                <w:sz w:val="18"/>
                <w:szCs w:val="18"/>
              </w:rPr>
            </w:pPr>
            <w:r>
              <w:rPr>
                <w:sz w:val="18"/>
                <w:szCs w:val="18"/>
              </w:rPr>
              <w:t>其中：印染绸</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804</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rPr>
                <w:sz w:val="18"/>
                <w:szCs w:val="18"/>
              </w:rPr>
            </w:pPr>
            <w:r>
              <w:rPr>
                <w:sz w:val="18"/>
                <w:szCs w:val="18"/>
              </w:rPr>
              <w:t>其他机织物总计</w:t>
            </w:r>
          </w:p>
        </w:tc>
        <w:tc>
          <w:tcPr>
            <w:tcW w:w="689" w:type="dxa"/>
            <w:tcBorders>
              <w:bottom w:val="single" w:color="auto" w:sz="4" w:space="0"/>
            </w:tcBorders>
            <w:vAlign w:val="center"/>
          </w:tcPr>
          <w:p>
            <w:pPr>
              <w:jc w:val="center"/>
              <w:rPr>
                <w:sz w:val="18"/>
                <w:szCs w:val="18"/>
              </w:rPr>
            </w:pPr>
            <w:r>
              <w:rPr>
                <w:sz w:val="18"/>
                <w:szCs w:val="18"/>
              </w:rPr>
              <w:t>米</w:t>
            </w:r>
          </w:p>
        </w:tc>
        <w:tc>
          <w:tcPr>
            <w:tcW w:w="643" w:type="dxa"/>
            <w:tcBorders>
              <w:bottom w:val="single" w:color="auto" w:sz="4" w:space="0"/>
            </w:tcBorders>
            <w:vAlign w:val="center"/>
          </w:tcPr>
          <w:p>
            <w:pPr>
              <w:jc w:val="center"/>
              <w:rPr>
                <w:sz w:val="18"/>
                <w:szCs w:val="18"/>
              </w:rPr>
            </w:pPr>
            <w:r>
              <w:rPr>
                <w:rFonts w:hint="eastAsia"/>
                <w:sz w:val="18"/>
                <w:szCs w:val="18"/>
              </w:rPr>
              <w:t>805</w:t>
            </w:r>
          </w:p>
        </w:tc>
        <w:tc>
          <w:tcPr>
            <w:tcW w:w="643" w:type="dxa"/>
            <w:tcBorders>
              <w:bottom w:val="single" w:color="auto" w:sz="4" w:space="0"/>
            </w:tcBorders>
          </w:tcPr>
          <w:p>
            <w:pPr>
              <w:jc w:val="center"/>
              <w:rPr>
                <w:sz w:val="18"/>
                <w:szCs w:val="18"/>
              </w:rPr>
            </w:pPr>
            <w:r>
              <w:rPr>
                <w:sz w:val="18"/>
                <w:szCs w:val="18"/>
              </w:rPr>
              <w:t>—</w:t>
            </w:r>
          </w:p>
        </w:tc>
        <w:tc>
          <w:tcPr>
            <w:tcW w:w="644" w:type="dxa"/>
            <w:tcBorders>
              <w:bottom w:val="single" w:color="auto" w:sz="4" w:space="0"/>
            </w:tcBorders>
          </w:tcPr>
          <w:p>
            <w:pPr>
              <w:jc w:val="center"/>
              <w:rPr>
                <w:sz w:val="18"/>
                <w:szCs w:val="18"/>
              </w:rPr>
            </w:pPr>
          </w:p>
        </w:tc>
        <w:tc>
          <w:tcPr>
            <w:tcW w:w="821" w:type="dxa"/>
            <w:tcBorders>
              <w:bottom w:val="single" w:color="auto" w:sz="4" w:space="0"/>
            </w:tcBorders>
          </w:tcPr>
          <w:p>
            <w:pPr>
              <w:jc w:val="center"/>
              <w:rPr>
                <w:sz w:val="18"/>
                <w:szCs w:val="18"/>
              </w:rPr>
            </w:pPr>
          </w:p>
        </w:tc>
        <w:tc>
          <w:tcPr>
            <w:tcW w:w="679" w:type="dxa"/>
            <w:tcBorders>
              <w:bottom w:val="single" w:color="auto" w:sz="4" w:space="0"/>
            </w:tcBorders>
            <w:vAlign w:val="center"/>
          </w:tcPr>
          <w:p>
            <w:pPr>
              <w:jc w:val="center"/>
              <w:rPr>
                <w:sz w:val="18"/>
                <w:szCs w:val="18"/>
              </w:rPr>
            </w:pPr>
            <w:r>
              <w:rPr>
                <w:sz w:val="18"/>
                <w:szCs w:val="18"/>
              </w:rPr>
              <w:t>—</w:t>
            </w: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16"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270" w:firstLineChars="150"/>
              <w:rPr>
                <w:sz w:val="18"/>
                <w:szCs w:val="18"/>
              </w:rPr>
            </w:pPr>
            <w:r>
              <w:rPr>
                <w:sz w:val="18"/>
                <w:szCs w:val="18"/>
              </w:rPr>
              <w:t>其中</w:t>
            </w:r>
            <w:r>
              <w:rPr>
                <w:rFonts w:hint="eastAsia"/>
                <w:sz w:val="18"/>
                <w:szCs w:val="18"/>
              </w:rPr>
              <w:t>：</w:t>
            </w:r>
            <w:r>
              <w:rPr>
                <w:sz w:val="18"/>
                <w:szCs w:val="18"/>
              </w:rPr>
              <w:t xml:space="preserve">门市销售 </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806</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rFonts w:hint="eastAsia"/>
                <w:sz w:val="18"/>
                <w:szCs w:val="18"/>
              </w:rPr>
              <w:t xml:space="preserve">        </w:t>
            </w:r>
            <w:r>
              <w:rPr>
                <w:sz w:val="18"/>
                <w:szCs w:val="18"/>
              </w:rPr>
              <w:t>在线销售</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807</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家纺</w:t>
            </w:r>
          </w:p>
          <w:p>
            <w:pPr>
              <w:jc w:val="center"/>
              <w:rPr>
                <w:sz w:val="18"/>
                <w:szCs w:val="18"/>
              </w:rPr>
            </w:pPr>
          </w:p>
          <w:p>
            <w:pPr>
              <w:jc w:val="center"/>
              <w:rPr>
                <w:sz w:val="18"/>
                <w:szCs w:val="18"/>
              </w:rPr>
            </w:pPr>
          </w:p>
        </w:tc>
        <w:tc>
          <w:tcPr>
            <w:tcW w:w="1695" w:type="dxa"/>
            <w:vAlign w:val="center"/>
          </w:tcPr>
          <w:p>
            <w:pPr>
              <w:rPr>
                <w:sz w:val="18"/>
                <w:szCs w:val="18"/>
              </w:rPr>
            </w:pPr>
            <w:r>
              <w:rPr>
                <w:sz w:val="18"/>
                <w:szCs w:val="18"/>
              </w:rPr>
              <w:t>家纺总计</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808</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其中：男士家居内衣</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809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女士家居内衣</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810</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left="181" w:leftChars="86" w:firstLine="360" w:firstLineChars="200"/>
              <w:rPr>
                <w:sz w:val="18"/>
                <w:szCs w:val="18"/>
              </w:rPr>
            </w:pPr>
            <w:r>
              <w:rPr>
                <w:sz w:val="18"/>
                <w:szCs w:val="18"/>
              </w:rPr>
              <w:t>蚕丝被</w:t>
            </w:r>
            <w:r>
              <w:rPr>
                <w:rFonts w:hint="eastAsia"/>
                <w:sz w:val="18"/>
                <w:szCs w:val="18"/>
              </w:rPr>
              <w:t>（蚕丝含量</w:t>
            </w:r>
            <w:r>
              <w:rPr>
                <w:sz w:val="18"/>
                <w:szCs w:val="18"/>
              </w:rPr>
              <w:t>达到50%及以上</w:t>
            </w:r>
            <w:r>
              <w:rPr>
                <w:rFonts w:hint="eastAsia"/>
                <w:sz w:val="18"/>
                <w:szCs w:val="18"/>
              </w:rPr>
              <w:t>）</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811</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真丝家纺套件</w:t>
            </w:r>
          </w:p>
        </w:tc>
        <w:tc>
          <w:tcPr>
            <w:tcW w:w="689" w:type="dxa"/>
            <w:tcBorders>
              <w:bottom w:val="single" w:color="auto" w:sz="4" w:space="0"/>
            </w:tcBorders>
            <w:vAlign w:val="center"/>
          </w:tcPr>
          <w:p>
            <w:pPr>
              <w:jc w:val="center"/>
              <w:rPr>
                <w:sz w:val="18"/>
                <w:szCs w:val="18"/>
              </w:rPr>
            </w:pPr>
            <w:r>
              <w:rPr>
                <w:sz w:val="18"/>
                <w:szCs w:val="18"/>
              </w:rPr>
              <w:t>套</w:t>
            </w:r>
          </w:p>
        </w:tc>
        <w:tc>
          <w:tcPr>
            <w:tcW w:w="643" w:type="dxa"/>
            <w:tcBorders>
              <w:bottom w:val="single" w:color="auto" w:sz="4" w:space="0"/>
            </w:tcBorders>
            <w:vAlign w:val="center"/>
          </w:tcPr>
          <w:p>
            <w:pPr>
              <w:jc w:val="center"/>
              <w:rPr>
                <w:sz w:val="18"/>
                <w:szCs w:val="18"/>
              </w:rPr>
            </w:pPr>
            <w:r>
              <w:rPr>
                <w:rFonts w:hint="eastAsia"/>
                <w:sz w:val="18"/>
                <w:szCs w:val="18"/>
              </w:rPr>
              <w:t>812</w:t>
            </w:r>
          </w:p>
        </w:tc>
        <w:tc>
          <w:tcPr>
            <w:tcW w:w="643" w:type="dxa"/>
            <w:tcBorders>
              <w:bottom w:val="single" w:color="auto" w:sz="4" w:space="0"/>
            </w:tcBorders>
            <w:vAlign w:val="center"/>
          </w:tcPr>
          <w:p>
            <w:pPr>
              <w:jc w:val="center"/>
              <w:rPr>
                <w:sz w:val="18"/>
                <w:szCs w:val="18"/>
              </w:rPr>
            </w:pPr>
            <w:r>
              <w:rPr>
                <w:sz w:val="18"/>
                <w:szCs w:val="18"/>
              </w:rPr>
              <w:t>—</w:t>
            </w: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r>
              <w:rPr>
                <w:sz w:val="18"/>
                <w:szCs w:val="18"/>
              </w:rPr>
              <w:t>—</w:t>
            </w: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16"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813</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814</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bl>
    <w:p>
      <w:pPr>
        <w:widowControl/>
        <w:spacing w:line="360" w:lineRule="auto"/>
        <w:ind w:left="360" w:hanging="360" w:hangingChars="200"/>
        <w:rPr>
          <w:sz w:val="18"/>
          <w:szCs w:val="18"/>
        </w:rPr>
      </w:pPr>
    </w:p>
    <w:p>
      <w:pPr>
        <w:widowControl/>
        <w:spacing w:line="360" w:lineRule="auto"/>
        <w:ind w:left="360" w:hanging="360" w:hangingChars="200"/>
        <w:rPr>
          <w:sz w:val="18"/>
          <w:szCs w:val="18"/>
        </w:rPr>
      </w:pPr>
      <w:r>
        <w:rPr>
          <w:rFonts w:hint="eastAsia"/>
          <w:sz w:val="18"/>
          <w:szCs w:val="18"/>
        </w:rPr>
        <w:t>续表</w:t>
      </w:r>
    </w:p>
    <w:tbl>
      <w:tblPr>
        <w:tblStyle w:val="19"/>
        <w:tblW w:w="8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95"/>
        <w:gridCol w:w="689"/>
        <w:gridCol w:w="643"/>
        <w:gridCol w:w="643"/>
        <w:gridCol w:w="644"/>
        <w:gridCol w:w="821"/>
        <w:gridCol w:w="679"/>
        <w:gridCol w:w="556"/>
        <w:gridCol w:w="83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pPr>
            <w:r>
              <w:rPr>
                <w:sz w:val="18"/>
                <w:szCs w:val="18"/>
              </w:rPr>
              <w:t>服</w:t>
            </w:r>
          </w:p>
          <w:p>
            <w:pPr>
              <w:jc w:val="center"/>
              <w:rPr>
                <w:sz w:val="18"/>
                <w:szCs w:val="18"/>
              </w:rPr>
            </w:pPr>
            <w:r>
              <w:rPr>
                <w:sz w:val="18"/>
                <w:szCs w:val="18"/>
              </w:rPr>
              <w:t>装</w:t>
            </w:r>
          </w:p>
        </w:tc>
        <w:tc>
          <w:tcPr>
            <w:tcW w:w="1695" w:type="dxa"/>
            <w:vAlign w:val="center"/>
          </w:tcPr>
          <w:p>
            <w:pPr>
              <w:rPr>
                <w:sz w:val="18"/>
                <w:szCs w:val="18"/>
              </w:rPr>
            </w:pPr>
            <w:r>
              <w:rPr>
                <w:sz w:val="18"/>
                <w:szCs w:val="18"/>
              </w:rPr>
              <w:t>真丝服装总计</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815</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其中：男士服装</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816</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女士服装</w:t>
            </w:r>
          </w:p>
        </w:tc>
        <w:tc>
          <w:tcPr>
            <w:tcW w:w="689" w:type="dxa"/>
            <w:tcBorders>
              <w:bottom w:val="single" w:color="auto" w:sz="4" w:space="0"/>
            </w:tcBorders>
            <w:vAlign w:val="center"/>
          </w:tcPr>
          <w:p>
            <w:pPr>
              <w:jc w:val="center"/>
              <w:rPr>
                <w:sz w:val="18"/>
                <w:szCs w:val="18"/>
              </w:rPr>
            </w:pPr>
            <w:r>
              <w:rPr>
                <w:sz w:val="18"/>
                <w:szCs w:val="18"/>
              </w:rPr>
              <w:t>件（套）</w:t>
            </w:r>
          </w:p>
        </w:tc>
        <w:tc>
          <w:tcPr>
            <w:tcW w:w="643" w:type="dxa"/>
            <w:tcBorders>
              <w:bottom w:val="single" w:color="auto" w:sz="4" w:space="0"/>
            </w:tcBorders>
            <w:vAlign w:val="center"/>
          </w:tcPr>
          <w:p>
            <w:pPr>
              <w:jc w:val="center"/>
              <w:rPr>
                <w:sz w:val="18"/>
                <w:szCs w:val="18"/>
              </w:rPr>
            </w:pPr>
            <w:r>
              <w:rPr>
                <w:rFonts w:hint="eastAsia"/>
                <w:sz w:val="18"/>
                <w:szCs w:val="18"/>
              </w:rPr>
              <w:t>817</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818</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服饰</w:t>
            </w:r>
          </w:p>
        </w:tc>
        <w:tc>
          <w:tcPr>
            <w:tcW w:w="1695" w:type="dxa"/>
            <w:vAlign w:val="center"/>
          </w:tcPr>
          <w:p>
            <w:pPr>
              <w:rPr>
                <w:sz w:val="18"/>
                <w:szCs w:val="18"/>
              </w:rPr>
            </w:pPr>
            <w:r>
              <w:rPr>
                <w:sz w:val="18"/>
                <w:szCs w:val="18"/>
              </w:rPr>
              <w:t>服饰总计</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820</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其中：丝巾</w:t>
            </w:r>
          </w:p>
        </w:tc>
        <w:tc>
          <w:tcPr>
            <w:tcW w:w="689" w:type="dxa"/>
            <w:vAlign w:val="center"/>
          </w:tcPr>
          <w:p>
            <w:pPr>
              <w:jc w:val="center"/>
              <w:rPr>
                <w:sz w:val="18"/>
                <w:szCs w:val="18"/>
              </w:rPr>
            </w:pPr>
            <w:r>
              <w:rPr>
                <w:sz w:val="18"/>
                <w:szCs w:val="18"/>
              </w:rPr>
              <w:t>条</w:t>
            </w:r>
          </w:p>
        </w:tc>
        <w:tc>
          <w:tcPr>
            <w:tcW w:w="643" w:type="dxa"/>
            <w:vAlign w:val="center"/>
          </w:tcPr>
          <w:p>
            <w:pPr>
              <w:jc w:val="center"/>
              <w:rPr>
                <w:sz w:val="18"/>
                <w:szCs w:val="18"/>
              </w:rPr>
            </w:pPr>
            <w:r>
              <w:rPr>
                <w:rFonts w:hint="eastAsia"/>
                <w:sz w:val="18"/>
                <w:szCs w:val="18"/>
              </w:rPr>
              <w:t>821</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领带</w:t>
            </w:r>
          </w:p>
        </w:tc>
        <w:tc>
          <w:tcPr>
            <w:tcW w:w="689" w:type="dxa"/>
            <w:tcBorders>
              <w:bottom w:val="single" w:color="auto" w:sz="4" w:space="0"/>
            </w:tcBorders>
            <w:vAlign w:val="center"/>
          </w:tcPr>
          <w:p>
            <w:pPr>
              <w:jc w:val="center"/>
              <w:rPr>
                <w:sz w:val="18"/>
                <w:szCs w:val="18"/>
              </w:rPr>
            </w:pPr>
            <w:r>
              <w:rPr>
                <w:sz w:val="18"/>
                <w:szCs w:val="18"/>
              </w:rPr>
              <w:t>条</w:t>
            </w:r>
          </w:p>
        </w:tc>
        <w:tc>
          <w:tcPr>
            <w:tcW w:w="643" w:type="dxa"/>
            <w:tcBorders>
              <w:bottom w:val="single" w:color="auto" w:sz="4" w:space="0"/>
            </w:tcBorders>
            <w:vAlign w:val="center"/>
          </w:tcPr>
          <w:p>
            <w:pPr>
              <w:jc w:val="center"/>
              <w:rPr>
                <w:sz w:val="18"/>
                <w:szCs w:val="18"/>
              </w:rPr>
            </w:pPr>
            <w:r>
              <w:rPr>
                <w:rFonts w:hint="eastAsia"/>
                <w:sz w:val="18"/>
                <w:szCs w:val="18"/>
              </w:rPr>
              <w:t>822</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823</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824</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其他</w:t>
            </w:r>
          </w:p>
        </w:tc>
        <w:tc>
          <w:tcPr>
            <w:tcW w:w="1695" w:type="dxa"/>
            <w:vAlign w:val="center"/>
          </w:tcPr>
          <w:p>
            <w:pPr>
              <w:rPr>
                <w:sz w:val="18"/>
                <w:szCs w:val="18"/>
              </w:rPr>
            </w:pPr>
            <w:r>
              <w:rPr>
                <w:sz w:val="18"/>
                <w:szCs w:val="18"/>
              </w:rPr>
              <w:t>其他商品总计</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825</w:t>
            </w:r>
          </w:p>
        </w:tc>
        <w:tc>
          <w:tcPr>
            <w:tcW w:w="643" w:type="dxa"/>
            <w:tcBorders>
              <w:bottom w:val="single" w:color="auto" w:sz="4" w:space="0"/>
            </w:tcBorders>
            <w:vAlign w:val="center"/>
          </w:tcPr>
          <w:p>
            <w:pPr>
              <w:jc w:val="center"/>
              <w:rPr>
                <w:sz w:val="18"/>
                <w:szCs w:val="18"/>
              </w:rPr>
            </w:pPr>
            <w:r>
              <w:rPr>
                <w:sz w:val="18"/>
                <w:szCs w:val="18"/>
              </w:rPr>
              <w:t>—</w:t>
            </w: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rPr>
                <w:sz w:val="18"/>
                <w:szCs w:val="18"/>
              </w:rPr>
            </w:pPr>
          </w:p>
        </w:tc>
        <w:tc>
          <w:tcPr>
            <w:tcW w:w="1695" w:type="dxa"/>
            <w:vAlign w:val="center"/>
          </w:tcPr>
          <w:p>
            <w:pPr>
              <w:rPr>
                <w:sz w:val="18"/>
                <w:szCs w:val="18"/>
              </w:rPr>
            </w:pPr>
            <w:r>
              <w:rPr>
                <w:sz w:val="18"/>
                <w:szCs w:val="18"/>
              </w:rPr>
              <w:t>其中：工艺品</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826</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化妆品</w:t>
            </w:r>
          </w:p>
        </w:tc>
        <w:tc>
          <w:tcPr>
            <w:tcW w:w="689" w:type="dxa"/>
            <w:tcBorders>
              <w:bottom w:val="single" w:color="auto" w:sz="4" w:space="0"/>
            </w:tcBorders>
            <w:vAlign w:val="center"/>
          </w:tcPr>
          <w:p>
            <w:pPr>
              <w:jc w:val="center"/>
              <w:rPr>
                <w:sz w:val="18"/>
                <w:szCs w:val="18"/>
              </w:rPr>
            </w:pPr>
            <w:r>
              <w:rPr>
                <w:sz w:val="18"/>
                <w:szCs w:val="18"/>
              </w:rPr>
              <w:t>件</w:t>
            </w:r>
          </w:p>
        </w:tc>
        <w:tc>
          <w:tcPr>
            <w:tcW w:w="643" w:type="dxa"/>
            <w:tcBorders>
              <w:bottom w:val="single" w:color="auto" w:sz="4" w:space="0"/>
            </w:tcBorders>
            <w:vAlign w:val="center"/>
          </w:tcPr>
          <w:p>
            <w:pPr>
              <w:jc w:val="center"/>
              <w:rPr>
                <w:sz w:val="18"/>
                <w:szCs w:val="18"/>
              </w:rPr>
            </w:pPr>
            <w:r>
              <w:rPr>
                <w:rFonts w:hint="eastAsia"/>
                <w:sz w:val="18"/>
                <w:szCs w:val="18"/>
              </w:rPr>
              <w:t>827</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箱包</w:t>
            </w:r>
          </w:p>
        </w:tc>
        <w:tc>
          <w:tcPr>
            <w:tcW w:w="689" w:type="dxa"/>
            <w:tcBorders>
              <w:bottom w:val="single" w:color="auto" w:sz="4" w:space="0"/>
            </w:tcBorders>
            <w:vAlign w:val="center"/>
          </w:tcPr>
          <w:p>
            <w:pPr>
              <w:jc w:val="center"/>
              <w:rPr>
                <w:sz w:val="18"/>
                <w:szCs w:val="18"/>
              </w:rPr>
            </w:pPr>
            <w:r>
              <w:rPr>
                <w:sz w:val="18"/>
                <w:szCs w:val="18"/>
              </w:rPr>
              <w:t>个</w:t>
            </w:r>
          </w:p>
        </w:tc>
        <w:tc>
          <w:tcPr>
            <w:tcW w:w="643" w:type="dxa"/>
            <w:tcBorders>
              <w:bottom w:val="single" w:color="auto" w:sz="4" w:space="0"/>
            </w:tcBorders>
            <w:vAlign w:val="center"/>
          </w:tcPr>
          <w:p>
            <w:pPr>
              <w:jc w:val="center"/>
              <w:rPr>
                <w:sz w:val="18"/>
                <w:szCs w:val="18"/>
              </w:rPr>
            </w:pPr>
            <w:r>
              <w:rPr>
                <w:rFonts w:hint="eastAsia"/>
                <w:sz w:val="18"/>
                <w:szCs w:val="18"/>
              </w:rPr>
              <w:t>828</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tcBorders>
              <w:right w:val="single" w:color="auto" w:sz="4" w:space="0"/>
            </w:tcBorders>
            <w:vAlign w:val="center"/>
          </w:tcPr>
          <w:p>
            <w:pPr>
              <w:jc w:val="center"/>
              <w:rPr>
                <w:sz w:val="18"/>
                <w:szCs w:val="18"/>
              </w:rPr>
            </w:pPr>
          </w:p>
        </w:tc>
        <w:tc>
          <w:tcPr>
            <w:tcW w:w="520" w:type="dxa"/>
            <w:tcBorders>
              <w:top w:val="single" w:color="auto" w:sz="4" w:space="0"/>
              <w:left w:val="single" w:color="auto" w:sz="4" w:space="0"/>
              <w:bottom w:val="single" w:color="auto" w:sz="4" w:space="0"/>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bottom w:val="single" w:color="auto" w:sz="8" w:space="0"/>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在线销售</w:t>
            </w:r>
          </w:p>
        </w:tc>
        <w:tc>
          <w:tcPr>
            <w:tcW w:w="689" w:type="dxa"/>
            <w:tcBorders>
              <w:bottom w:val="single" w:color="auto" w:sz="4" w:space="0"/>
            </w:tcBorders>
            <w:vAlign w:val="center"/>
          </w:tcPr>
          <w:p>
            <w:pPr>
              <w:jc w:val="center"/>
              <w:rPr>
                <w:sz w:val="18"/>
                <w:szCs w:val="18"/>
              </w:rPr>
            </w:pPr>
            <w:r>
              <w:rPr>
                <w:sz w:val="18"/>
                <w:szCs w:val="18"/>
              </w:rPr>
              <w:t>件</w:t>
            </w:r>
          </w:p>
        </w:tc>
        <w:tc>
          <w:tcPr>
            <w:tcW w:w="643" w:type="dxa"/>
            <w:tcBorders>
              <w:bottom w:val="single" w:color="auto" w:sz="4" w:space="0"/>
            </w:tcBorders>
            <w:vAlign w:val="center"/>
          </w:tcPr>
          <w:p>
            <w:pPr>
              <w:jc w:val="center"/>
              <w:rPr>
                <w:sz w:val="18"/>
                <w:szCs w:val="18"/>
              </w:rPr>
            </w:pPr>
            <w:r>
              <w:rPr>
                <w:rFonts w:hint="eastAsia"/>
                <w:sz w:val="18"/>
                <w:szCs w:val="18"/>
              </w:rPr>
              <w:t>830</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right w:val="single" w:color="auto" w:sz="4" w:space="0"/>
            </w:tcBorders>
            <w:vAlign w:val="center"/>
          </w:tcPr>
          <w:p>
            <w:pPr>
              <w:jc w:val="center"/>
              <w:rPr>
                <w:sz w:val="18"/>
                <w:szCs w:val="18"/>
              </w:rPr>
            </w:pPr>
          </w:p>
        </w:tc>
        <w:tc>
          <w:tcPr>
            <w:tcW w:w="520" w:type="dxa"/>
            <w:tcBorders>
              <w:top w:val="single" w:color="auto" w:sz="4" w:space="0"/>
              <w:left w:val="single" w:color="auto" w:sz="4" w:space="0"/>
              <w:bottom w:val="single" w:color="auto" w:sz="4" w:space="0"/>
              <w:right w:val="nil"/>
            </w:tcBorders>
            <w:vAlign w:val="center"/>
          </w:tcPr>
          <w:p>
            <w:pPr>
              <w:jc w:val="center"/>
              <w:rPr>
                <w:sz w:val="18"/>
                <w:szCs w:val="18"/>
              </w:rPr>
            </w:pPr>
            <w:r>
              <w:rPr>
                <w:sz w:val="18"/>
                <w:szCs w:val="18"/>
              </w:rPr>
              <w:t>—</w:t>
            </w: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widowControl/>
        <w:spacing w:line="360" w:lineRule="auto"/>
        <w:rPr>
          <w:sz w:val="18"/>
          <w:szCs w:val="18"/>
        </w:rPr>
      </w:pPr>
      <w:r>
        <w:rPr>
          <w:sz w:val="18"/>
          <w:szCs w:val="18"/>
        </w:rPr>
        <w:t>注：1、</w:t>
      </w:r>
      <w:r>
        <w:rPr>
          <w:rFonts w:hint="eastAsia"/>
          <w:sz w:val="18"/>
          <w:szCs w:val="18"/>
        </w:rPr>
        <w:t>根据</w:t>
      </w:r>
      <w:r>
        <w:rPr>
          <w:sz w:val="18"/>
          <w:szCs w:val="18"/>
        </w:rPr>
        <w:t>GB/T 24252-2009《蚕丝被》国家标准，所</w:t>
      </w:r>
      <w:r>
        <w:rPr>
          <w:rFonts w:hint="eastAsia"/>
          <w:sz w:val="18"/>
          <w:szCs w:val="18"/>
        </w:rPr>
        <w:t>统计</w:t>
      </w:r>
      <w:r>
        <w:rPr>
          <w:sz w:val="18"/>
          <w:szCs w:val="18"/>
        </w:rPr>
        <w:t>的蚕丝被蚕丝含量达到50%及以上</w:t>
      </w:r>
      <w:r>
        <w:rPr>
          <w:rFonts w:hint="eastAsia"/>
          <w:sz w:val="18"/>
          <w:szCs w:val="18"/>
        </w:rPr>
        <w:t>。</w:t>
      </w:r>
    </w:p>
    <w:p>
      <w:pPr>
        <w:widowControl/>
        <w:spacing w:line="360" w:lineRule="auto"/>
        <w:ind w:left="361" w:leftChars="172"/>
        <w:rPr>
          <w:sz w:val="18"/>
          <w:szCs w:val="18"/>
        </w:rPr>
      </w:pPr>
      <w:r>
        <w:rPr>
          <w:sz w:val="18"/>
          <w:szCs w:val="18"/>
        </w:rPr>
        <w:t>2、划“—”处该栏不填。</w:t>
      </w:r>
    </w:p>
    <w:p>
      <w:pPr>
        <w:widowControl/>
        <w:spacing w:line="360" w:lineRule="auto"/>
        <w:ind w:left="361" w:leftChars="172"/>
      </w:pPr>
      <w:r>
        <w:rPr>
          <w:sz w:val="18"/>
          <w:szCs w:val="18"/>
        </w:rPr>
        <w:t>3、部分品种的</w:t>
      </w:r>
      <w:r>
        <w:rPr>
          <w:rFonts w:hint="eastAsia"/>
          <w:sz w:val="18"/>
          <w:szCs w:val="18"/>
        </w:rPr>
        <w:t>出口价格与内销价格不填，系统根据出口额（内销额）与出口量（内销量）自动计算生成。</w:t>
      </w:r>
    </w:p>
    <w:p>
      <w:bookmarkStart w:id="11" w:name="_Toc438208249"/>
      <w:bookmarkStart w:id="12" w:name="_Toc443922431"/>
    </w:p>
    <w:p/>
    <w:p/>
    <w:p/>
    <w:p/>
    <w:p/>
    <w:p>
      <w:pPr>
        <w:pStyle w:val="2"/>
        <w:spacing w:before="0" w:after="0"/>
        <w:jc w:val="center"/>
        <w:rPr>
          <w:sz w:val="32"/>
        </w:rPr>
      </w:pPr>
      <w:r>
        <w:rPr>
          <w:sz w:val="32"/>
        </w:rPr>
        <w:t>四、主要指标解释</w:t>
      </w:r>
      <w:bookmarkEnd w:id="11"/>
      <w:bookmarkEnd w:id="12"/>
    </w:p>
    <w:p>
      <w:pPr>
        <w:spacing w:line="480" w:lineRule="auto"/>
        <w:ind w:firstLine="422" w:firstLineChars="200"/>
        <w:jc w:val="left"/>
        <w:rPr>
          <w:rFonts w:eastAsiaTheme="minorEastAsia"/>
          <w:b/>
          <w:bCs/>
        </w:rPr>
      </w:pPr>
      <w:r>
        <w:rPr>
          <w:rFonts w:eastAsiaTheme="minorEastAsia"/>
          <w:b/>
          <w:bCs/>
        </w:rPr>
        <w:t>（一）企业基本情况指标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法人单位名称</w:t>
      </w:r>
      <w:r>
        <w:rPr>
          <w:rFonts w:hint="eastAsia" w:ascii="黑体" w:hAnsi="黑体" w:eastAsia="黑体"/>
          <w:bCs/>
        </w:rPr>
        <w:t>（企业1表）</w:t>
      </w:r>
      <w:r>
        <w:rPr>
          <w:rFonts w:ascii="黑体" w:hAnsi="黑体" w:eastAsia="黑体"/>
          <w:bCs/>
        </w:rPr>
        <w:t>：</w:t>
      </w:r>
      <w:r>
        <w:rPr>
          <w:rFonts w:eastAsiaTheme="minorEastAsia"/>
          <w:bCs/>
        </w:rPr>
        <w:t>指经工商部门批准正式使用的单位全称。填写时要求使用规范化汉字全称，与单位公章所使用的名称完全一致。</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法人代表</w:t>
      </w:r>
      <w:r>
        <w:rPr>
          <w:rFonts w:hint="eastAsia" w:ascii="黑体" w:hAnsi="黑体" w:eastAsia="黑体"/>
          <w:bCs/>
        </w:rPr>
        <w:t>（企业1表）</w:t>
      </w:r>
      <w:r>
        <w:rPr>
          <w:rFonts w:ascii="黑体" w:hAnsi="黑体" w:eastAsia="黑体"/>
          <w:bCs/>
        </w:rPr>
        <w:t>：</w:t>
      </w:r>
      <w:r>
        <w:rPr>
          <w:rFonts w:eastAsiaTheme="minorEastAsia"/>
          <w:bCs/>
        </w:rPr>
        <w:t>指依照法律或者法人组织章程规定，代表法人行使职权的负责人，按《企业法人营业执照》填写。</w:t>
      </w:r>
    </w:p>
    <w:p>
      <w:pPr>
        <w:spacing w:line="480" w:lineRule="auto"/>
        <w:ind w:firstLine="420" w:firstLineChars="200"/>
        <w:jc w:val="left"/>
        <w:rPr>
          <w:rFonts w:eastAsiaTheme="minorEastAsia"/>
          <w:bCs/>
        </w:rPr>
      </w:pPr>
      <w:r>
        <w:rPr>
          <w:rFonts w:eastAsiaTheme="minorEastAsia"/>
          <w:bCs/>
        </w:rPr>
        <w:t>3、</w:t>
      </w:r>
      <w:r>
        <w:rPr>
          <w:rFonts w:ascii="黑体" w:hAnsi="黑体" w:eastAsia="黑体"/>
          <w:bCs/>
        </w:rPr>
        <w:t>工商登记注册号</w:t>
      </w:r>
      <w:r>
        <w:rPr>
          <w:rFonts w:hint="eastAsia" w:ascii="黑体" w:hAnsi="黑体" w:eastAsia="黑体"/>
          <w:bCs/>
        </w:rPr>
        <w:t>（企业1表）</w:t>
      </w:r>
      <w:r>
        <w:rPr>
          <w:rFonts w:ascii="黑体" w:hAnsi="黑体" w:eastAsia="黑体"/>
          <w:bCs/>
        </w:rPr>
        <w:t>：</w:t>
      </w:r>
      <w:r>
        <w:rPr>
          <w:rFonts w:eastAsiaTheme="minorEastAsia"/>
          <w:bCs/>
        </w:rPr>
        <w:t>指企业营业执照正本上的注册号。</w:t>
      </w:r>
    </w:p>
    <w:p>
      <w:pPr>
        <w:spacing w:line="480" w:lineRule="auto"/>
        <w:ind w:firstLine="420" w:firstLineChars="200"/>
        <w:jc w:val="left"/>
        <w:rPr>
          <w:rFonts w:eastAsiaTheme="minorEastAsia"/>
          <w:bCs/>
        </w:rPr>
      </w:pPr>
      <w:r>
        <w:rPr>
          <w:rFonts w:hint="eastAsia" w:eastAsiaTheme="minorEastAsia"/>
          <w:bCs/>
        </w:rPr>
        <w:t>4、</w:t>
      </w:r>
      <w:r>
        <w:rPr>
          <w:rFonts w:hint="eastAsia" w:ascii="黑体" w:hAnsi="黑体" w:eastAsia="黑体"/>
          <w:bCs/>
        </w:rPr>
        <w:t>统一社会信用代码（企业1表）</w:t>
      </w:r>
      <w:r>
        <w:rPr>
          <w:rFonts w:ascii="黑体" w:hAnsi="黑体" w:eastAsia="黑体"/>
          <w:bCs/>
        </w:rPr>
        <w:t>：</w:t>
      </w:r>
      <w:r>
        <w:rPr>
          <w:rFonts w:hint="eastAsia" w:eastAsiaTheme="minorEastAsia"/>
          <w:bCs/>
        </w:rPr>
        <w:t>长度为18位的用于法人和其他组织</w:t>
      </w:r>
      <w:r>
        <w:rPr>
          <w:rFonts w:eastAsiaTheme="minorEastAsia"/>
          <w:bCs/>
        </w:rPr>
        <w:fldChar w:fldCharType="begin"/>
      </w:r>
      <w:r>
        <w:rPr>
          <w:rFonts w:eastAsiaTheme="minorEastAsia"/>
          <w:bCs/>
        </w:rPr>
        <w:instrText xml:space="preserve"> HYPERLINK "http://baike.baidu.com/view/1682366.htm" \t "http://baike.baidu.com/_blank" </w:instrText>
      </w:r>
      <w:r>
        <w:rPr>
          <w:rFonts w:eastAsiaTheme="minorEastAsia"/>
          <w:bCs/>
        </w:rPr>
        <w:fldChar w:fldCharType="separate"/>
      </w:r>
      <w:r>
        <w:rPr>
          <w:rFonts w:eastAsiaTheme="minorEastAsia"/>
          <w:bCs/>
        </w:rPr>
        <w:t>身份识别</w:t>
      </w:r>
      <w:r>
        <w:rPr>
          <w:rFonts w:eastAsiaTheme="minorEastAsia"/>
          <w:bCs/>
        </w:rPr>
        <w:fldChar w:fldCharType="end"/>
      </w:r>
      <w:r>
        <w:rPr>
          <w:rFonts w:eastAsiaTheme="minorEastAsia"/>
          <w:bCs/>
        </w:rPr>
        <w:t>的代码。</w:t>
      </w:r>
    </w:p>
    <w:p>
      <w:pPr>
        <w:spacing w:line="480" w:lineRule="auto"/>
        <w:ind w:firstLine="420" w:firstLineChars="200"/>
        <w:jc w:val="left"/>
        <w:rPr>
          <w:rFonts w:eastAsiaTheme="minorEastAsia"/>
          <w:bCs/>
        </w:rPr>
      </w:pPr>
      <w:r>
        <w:rPr>
          <w:rFonts w:hint="eastAsia" w:eastAsiaTheme="minorEastAsia"/>
          <w:bCs/>
        </w:rPr>
        <w:t>5、</w:t>
      </w:r>
      <w:r>
        <w:rPr>
          <w:rFonts w:hint="eastAsia" w:ascii="黑体" w:hAnsi="黑体" w:eastAsia="黑体"/>
          <w:bCs/>
        </w:rPr>
        <w:t>企业类型（企业1表）</w:t>
      </w:r>
      <w:r>
        <w:rPr>
          <w:rFonts w:hint="eastAsia" w:eastAsiaTheme="minorEastAsia"/>
          <w:bCs/>
        </w:rPr>
        <w:t>: 211蚕茧生产企业，212缫丝生产企业，213丝绸制品生产加工企业，214真丝绸缎批发企业，215家纺批发企业，216服装服饰批发企业，217其他丝绸制品批发企业，218丝织绸缎零售企业，219家纺零售企业，220服装服饰零售企业，221其他丝绸制品零售企业，222其他企业。</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w:t>
      </w:r>
      <w:r>
        <w:rPr>
          <w:rFonts w:ascii="黑体" w:hAnsi="黑体" w:eastAsia="黑体"/>
          <w:bCs/>
        </w:rPr>
        <w:t>企业登记注册类型</w:t>
      </w:r>
      <w:r>
        <w:rPr>
          <w:rFonts w:hint="eastAsia" w:ascii="黑体" w:hAnsi="黑体" w:eastAsia="黑体"/>
          <w:bCs/>
        </w:rPr>
        <w:t>（企业1表）</w:t>
      </w:r>
      <w:r>
        <w:rPr>
          <w:rFonts w:ascii="黑体" w:hAnsi="黑体" w:eastAsia="黑体"/>
          <w:bCs/>
        </w:rPr>
        <w:t>：</w:t>
      </w:r>
      <w:r>
        <w:rPr>
          <w:rFonts w:eastAsiaTheme="minorEastAsia"/>
          <w:bCs/>
        </w:rPr>
        <w:t>指企业在工商行政管理机关登记注册的类型，包括：</w:t>
      </w:r>
      <w:r>
        <w:rPr>
          <w:rFonts w:hint="eastAsia" w:eastAsiaTheme="minorEastAsia"/>
          <w:bCs/>
        </w:rPr>
        <w:t>224国有，225其他有限责任公司，226集体，227股份有限公司，228股份合作，229私营独资，230国有联营，231私营合伙，233私营有限责任公司，234国有与集体联营，235，私营股份有限公司，236其他联营，237其他，238国有独资公司，239与港澳台商合资经营，240与港澳台商合作经营，241港澳台商独资，242港澳台商投资股份有限公司，243其他港澳台投资，244中外合资经营，245中外合作经营，246外资企业，247外商投资股份有限公司，248其他外商投资</w:t>
      </w:r>
      <w:r>
        <w:rPr>
          <w:rFonts w:eastAsiaTheme="minorEastAsia"/>
          <w:bCs/>
        </w:rPr>
        <w:t>。</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企业地址</w:t>
      </w:r>
      <w:r>
        <w:rPr>
          <w:rFonts w:hint="eastAsia" w:ascii="黑体" w:hAnsi="黑体" w:eastAsia="黑体"/>
          <w:bCs/>
        </w:rPr>
        <w:t>（企业1表）</w:t>
      </w:r>
      <w:r>
        <w:rPr>
          <w:rFonts w:eastAsiaTheme="minorEastAsia"/>
          <w:bCs/>
        </w:rPr>
        <w:t>：指单位实际所处的详细地址。</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主要设备</w:t>
      </w:r>
      <w:r>
        <w:rPr>
          <w:rFonts w:hint="eastAsia" w:ascii="黑体" w:hAnsi="黑体" w:eastAsia="黑体"/>
          <w:bCs/>
        </w:rPr>
        <w:t>（企业1表）</w:t>
      </w:r>
      <w:r>
        <w:rPr>
          <w:rFonts w:eastAsiaTheme="minorEastAsia"/>
          <w:bCs/>
        </w:rPr>
        <w:t>：01缫丝设备，02染整设备，03织机，04缝纫机，05其他。</w:t>
      </w:r>
    </w:p>
    <w:p>
      <w:pPr>
        <w:spacing w:line="480" w:lineRule="auto"/>
        <w:ind w:firstLine="420" w:firstLineChars="200"/>
        <w:jc w:val="left"/>
        <w:rPr>
          <w:rFonts w:eastAsiaTheme="minorEastAsia"/>
          <w:bCs/>
        </w:rPr>
      </w:pPr>
      <w:r>
        <w:rPr>
          <w:rFonts w:hint="eastAsia" w:eastAsiaTheme="minorEastAsia"/>
          <w:bCs/>
        </w:rPr>
        <w:t>9</w:t>
      </w:r>
      <w:r>
        <w:rPr>
          <w:rFonts w:eastAsiaTheme="minorEastAsia"/>
          <w:bCs/>
        </w:rPr>
        <w:t>、</w:t>
      </w:r>
      <w:r>
        <w:rPr>
          <w:rFonts w:ascii="黑体" w:hAnsi="黑体" w:eastAsia="黑体"/>
          <w:bCs/>
        </w:rPr>
        <w:t>主要产品</w:t>
      </w:r>
      <w:r>
        <w:rPr>
          <w:rFonts w:hint="eastAsia" w:ascii="黑体" w:hAnsi="黑体" w:eastAsia="黑体"/>
          <w:bCs/>
        </w:rPr>
        <w:t>（企业1表）</w:t>
      </w:r>
      <w:r>
        <w:rPr>
          <w:rFonts w:ascii="黑体" w:hAnsi="黑体" w:eastAsia="黑体"/>
          <w:bCs/>
        </w:rPr>
        <w:t>：</w:t>
      </w:r>
      <w:r>
        <w:rPr>
          <w:rFonts w:eastAsiaTheme="minorEastAsia"/>
          <w:bCs/>
        </w:rPr>
        <w:t>01蚕茧，02生丝，03真丝及其交织混纺绸，04丝绸服装，05其他丝绸制品，06其他。</w:t>
      </w:r>
    </w:p>
    <w:p>
      <w:pPr>
        <w:spacing w:line="480" w:lineRule="auto"/>
        <w:ind w:firstLine="420" w:firstLineChars="200"/>
        <w:jc w:val="left"/>
        <w:rPr>
          <w:rFonts w:eastAsiaTheme="minorEastAsia"/>
          <w:bCs/>
        </w:rPr>
      </w:pPr>
      <w:r>
        <w:rPr>
          <w:rFonts w:hint="eastAsia" w:eastAsiaTheme="minorEastAsia"/>
          <w:bCs/>
        </w:rPr>
        <w:t>10</w:t>
      </w:r>
      <w:r>
        <w:rPr>
          <w:rFonts w:eastAsiaTheme="minorEastAsia"/>
          <w:bCs/>
        </w:rPr>
        <w:t>、</w:t>
      </w:r>
      <w:r>
        <w:rPr>
          <w:rFonts w:ascii="黑体" w:hAnsi="黑体" w:eastAsia="黑体"/>
          <w:bCs/>
        </w:rPr>
        <w:t>期末人数</w:t>
      </w:r>
      <w:r>
        <w:rPr>
          <w:rFonts w:hint="eastAsia" w:ascii="黑体" w:hAnsi="黑体" w:eastAsia="黑体"/>
          <w:bCs/>
        </w:rPr>
        <w:t>（企业1表）</w:t>
      </w:r>
      <w:r>
        <w:rPr>
          <w:rFonts w:ascii="黑体" w:hAnsi="黑体" w:eastAsia="黑体"/>
          <w:bCs/>
        </w:rPr>
        <w:t>：</w:t>
      </w:r>
      <w:r>
        <w:rPr>
          <w:rFonts w:eastAsiaTheme="minorEastAsia"/>
          <w:bCs/>
        </w:rPr>
        <w:t>指在本单位工作并取得劳动报酬或收入的期末实有人员数。</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1</w:t>
      </w:r>
      <w:r>
        <w:rPr>
          <w:rFonts w:eastAsiaTheme="minorEastAsia"/>
          <w:bCs/>
        </w:rPr>
        <w:t>、</w:t>
      </w:r>
      <w:r>
        <w:rPr>
          <w:rFonts w:ascii="黑体" w:hAnsi="黑体" w:eastAsia="黑体"/>
          <w:bCs/>
        </w:rPr>
        <w:t>劳动报酬</w:t>
      </w:r>
      <w:r>
        <w:rPr>
          <w:rFonts w:hint="eastAsia" w:ascii="黑体" w:hAnsi="黑体" w:eastAsia="黑体"/>
          <w:bCs/>
        </w:rPr>
        <w:t>（企业1表）</w:t>
      </w:r>
      <w:r>
        <w:rPr>
          <w:rFonts w:ascii="黑体" w:hAnsi="黑体" w:eastAsia="黑体"/>
          <w:bCs/>
        </w:rPr>
        <w:t>：</w:t>
      </w:r>
      <w:r>
        <w:rPr>
          <w:rFonts w:eastAsiaTheme="minorEastAsia"/>
          <w:bCs/>
        </w:rPr>
        <w:t>指在报告期内支付给本单位从业人员的全部劳动报酬，包括工资、福利费、奖金、津贴及各种补助。</w:t>
      </w:r>
    </w:p>
    <w:p>
      <w:pPr>
        <w:spacing w:line="360" w:lineRule="auto"/>
        <w:ind w:firstLine="422" w:firstLineChars="200"/>
        <w:jc w:val="left"/>
        <w:rPr>
          <w:rFonts w:eastAsiaTheme="minorEastAsia"/>
          <w:b/>
          <w:bCs/>
        </w:rPr>
      </w:pPr>
      <w:r>
        <w:rPr>
          <w:rFonts w:eastAsiaTheme="minorEastAsia"/>
          <w:b/>
          <w:bCs/>
        </w:rPr>
        <w:t>（二）财务指标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内销额</w:t>
      </w:r>
      <w:r>
        <w:rPr>
          <w:rFonts w:hint="eastAsia" w:ascii="黑体" w:hAnsi="黑体" w:eastAsia="黑体"/>
          <w:bCs/>
        </w:rPr>
        <w:t>（企业3表）</w:t>
      </w:r>
      <w:r>
        <w:rPr>
          <w:rFonts w:ascii="黑体" w:hAnsi="黑体" w:eastAsia="黑体"/>
          <w:bCs/>
        </w:rPr>
        <w:t>：</w:t>
      </w:r>
      <w:r>
        <w:rPr>
          <w:rFonts w:eastAsiaTheme="minorEastAsia"/>
          <w:bCs/>
        </w:rPr>
        <w:t>指售予本企业以外的国内单位和个人的商品金额（含增值税）。</w:t>
      </w:r>
    </w:p>
    <w:p>
      <w:pPr>
        <w:spacing w:line="480" w:lineRule="auto"/>
        <w:ind w:firstLine="420" w:firstLineChars="200"/>
        <w:jc w:val="left"/>
        <w:rPr>
          <w:rFonts w:eastAsiaTheme="minorEastAsia"/>
          <w:bCs/>
        </w:rPr>
      </w:pPr>
      <w:r>
        <w:rPr>
          <w:rFonts w:hint="eastAsia" w:eastAsiaTheme="minorEastAsia"/>
          <w:bCs/>
        </w:rPr>
        <w:t>2</w:t>
      </w:r>
      <w:r>
        <w:rPr>
          <w:rFonts w:eastAsiaTheme="minorEastAsia"/>
          <w:bCs/>
        </w:rPr>
        <w:t>、</w:t>
      </w:r>
      <w:r>
        <w:rPr>
          <w:rFonts w:hint="eastAsia" w:ascii="黑体" w:hAnsi="黑体" w:eastAsia="黑体"/>
          <w:bCs/>
        </w:rPr>
        <w:t>出口</w:t>
      </w:r>
      <w:r>
        <w:rPr>
          <w:rFonts w:ascii="黑体" w:hAnsi="黑体" w:eastAsia="黑体"/>
          <w:bCs/>
        </w:rPr>
        <w:t>额</w:t>
      </w:r>
      <w:r>
        <w:rPr>
          <w:rFonts w:hint="eastAsia" w:ascii="黑体" w:hAnsi="黑体" w:eastAsia="黑体"/>
          <w:bCs/>
        </w:rPr>
        <w:t>（企业3表）</w:t>
      </w:r>
      <w:r>
        <w:rPr>
          <w:rFonts w:ascii="黑体" w:hAnsi="黑体" w:eastAsia="黑体"/>
          <w:bCs/>
        </w:rPr>
        <w:t>：</w:t>
      </w:r>
      <w:r>
        <w:rPr>
          <w:rFonts w:eastAsiaTheme="minorEastAsia"/>
          <w:bCs/>
        </w:rPr>
        <w:t>指售予本企业以外的国外单位和个人的商品金额（含增值税）。</w:t>
      </w:r>
    </w:p>
    <w:p>
      <w:pPr>
        <w:spacing w:line="480" w:lineRule="auto"/>
        <w:ind w:firstLine="420" w:firstLineChars="200"/>
        <w:jc w:val="left"/>
        <w:rPr>
          <w:rFonts w:eastAsiaTheme="minorEastAsia"/>
          <w:bCs/>
        </w:rPr>
      </w:pPr>
      <w:r>
        <w:rPr>
          <w:rFonts w:hint="eastAsia" w:eastAsiaTheme="minorEastAsia"/>
          <w:bCs/>
        </w:rPr>
        <w:t>3</w:t>
      </w:r>
      <w:r>
        <w:rPr>
          <w:rFonts w:eastAsiaTheme="minorEastAsia"/>
          <w:bCs/>
        </w:rPr>
        <w:t>、</w:t>
      </w:r>
      <w:r>
        <w:rPr>
          <w:rFonts w:ascii="黑体" w:hAnsi="黑体" w:eastAsia="黑体"/>
          <w:bCs/>
        </w:rPr>
        <w:t>期末库存额</w:t>
      </w:r>
      <w:r>
        <w:rPr>
          <w:rFonts w:hint="eastAsia" w:ascii="黑体" w:hAnsi="黑体" w:eastAsia="黑体"/>
          <w:bCs/>
        </w:rPr>
        <w:t>（企业3表）</w:t>
      </w:r>
      <w:r>
        <w:rPr>
          <w:rFonts w:ascii="黑体" w:hAnsi="黑体" w:eastAsia="黑体"/>
          <w:bCs/>
        </w:rPr>
        <w:t>：</w:t>
      </w:r>
      <w:r>
        <w:rPr>
          <w:rFonts w:eastAsiaTheme="minorEastAsia"/>
          <w:bCs/>
        </w:rPr>
        <w:t>报告期内最后一天，企业已取得所有权的全部商品金额（采用售价进行核算，包括本单位和寄存在外的商品，不包括在途、待检测和代外单位保存的商品，以及外国品牌商品）。</w:t>
      </w:r>
    </w:p>
    <w:p>
      <w:pPr>
        <w:spacing w:line="480" w:lineRule="auto"/>
        <w:ind w:firstLine="420" w:firstLineChars="200"/>
        <w:jc w:val="left"/>
        <w:rPr>
          <w:rFonts w:eastAsiaTheme="minorEastAsia"/>
          <w:bCs/>
        </w:rPr>
      </w:pPr>
      <w:r>
        <w:rPr>
          <w:rFonts w:hint="eastAsia" w:eastAsiaTheme="minorEastAsia"/>
          <w:bCs/>
        </w:rPr>
        <w:t>4</w:t>
      </w:r>
      <w:r>
        <w:rPr>
          <w:rFonts w:eastAsiaTheme="minorEastAsia"/>
          <w:bCs/>
        </w:rPr>
        <w:t>、</w:t>
      </w:r>
      <w:r>
        <w:rPr>
          <w:rFonts w:ascii="黑体" w:hAnsi="黑体" w:eastAsia="黑体"/>
          <w:bCs/>
        </w:rPr>
        <w:t>应收账款</w:t>
      </w:r>
      <w:r>
        <w:rPr>
          <w:rFonts w:hint="eastAsia" w:ascii="黑体" w:hAnsi="黑体" w:eastAsia="黑体"/>
          <w:bCs/>
        </w:rPr>
        <w:t>（企业2表）</w:t>
      </w:r>
      <w:r>
        <w:rPr>
          <w:rFonts w:ascii="黑体" w:hAnsi="黑体" w:eastAsia="黑体"/>
          <w:bCs/>
        </w:rPr>
        <w:t>：</w:t>
      </w:r>
      <w:r>
        <w:rPr>
          <w:rFonts w:eastAsiaTheme="minorEastAsia"/>
          <w:bCs/>
        </w:rPr>
        <w:t>指企业因销售商品、产品、提供劳务等，应向购货单位或接受劳务单位收取的款项。</w:t>
      </w:r>
    </w:p>
    <w:p>
      <w:pPr>
        <w:spacing w:line="480" w:lineRule="auto"/>
        <w:ind w:firstLine="420" w:firstLineChars="200"/>
        <w:jc w:val="left"/>
        <w:rPr>
          <w:rFonts w:eastAsiaTheme="minorEastAsia"/>
          <w:bCs/>
        </w:rPr>
      </w:pPr>
      <w:r>
        <w:rPr>
          <w:rFonts w:hint="eastAsia" w:eastAsiaTheme="minorEastAsia"/>
          <w:bCs/>
        </w:rPr>
        <w:t>5</w:t>
      </w:r>
      <w:r>
        <w:rPr>
          <w:rFonts w:eastAsiaTheme="minorEastAsia"/>
          <w:bCs/>
        </w:rPr>
        <w:t>、</w:t>
      </w:r>
      <w:r>
        <w:rPr>
          <w:rFonts w:ascii="黑体" w:hAnsi="黑体" w:eastAsia="黑体"/>
          <w:bCs/>
        </w:rPr>
        <w:t>产成品</w:t>
      </w:r>
      <w:r>
        <w:rPr>
          <w:rFonts w:hint="eastAsia" w:ascii="黑体" w:hAnsi="黑体" w:eastAsia="黑体"/>
          <w:bCs/>
        </w:rPr>
        <w:t>（企业2表）</w:t>
      </w:r>
      <w:r>
        <w:rPr>
          <w:rFonts w:ascii="黑体" w:hAnsi="黑体" w:eastAsia="黑体"/>
          <w:bCs/>
        </w:rPr>
        <w:t>：</w:t>
      </w:r>
      <w:r>
        <w:rPr>
          <w:rFonts w:eastAsiaTheme="minorEastAsia"/>
          <w:bCs/>
        </w:rPr>
        <w:t>指企业报告期末已经加工生产并完成全部生产过程，可以对外销售的制成产品。</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 xml:space="preserve">、 </w:t>
      </w:r>
      <w:r>
        <w:rPr>
          <w:rFonts w:ascii="黑体" w:hAnsi="黑体" w:eastAsia="黑体"/>
          <w:bCs/>
        </w:rPr>
        <w:t>流动资产</w:t>
      </w:r>
      <w:r>
        <w:rPr>
          <w:rFonts w:hint="eastAsia" w:ascii="黑体" w:hAnsi="黑体" w:eastAsia="黑体"/>
          <w:bCs/>
        </w:rPr>
        <w:t>（企业2表）</w:t>
      </w:r>
      <w:r>
        <w:rPr>
          <w:rFonts w:ascii="黑体" w:hAnsi="黑体" w:eastAsia="黑体"/>
          <w:bCs/>
        </w:rPr>
        <w:t>：</w:t>
      </w:r>
      <w:r>
        <w:rPr>
          <w:rFonts w:eastAsiaTheme="minorEastAsia"/>
          <w:bCs/>
        </w:rPr>
        <w:t>指企业可以在一年或者越过一年的一个营业周期内变现或者运用的资产。</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资产总计</w:t>
      </w:r>
      <w:r>
        <w:rPr>
          <w:rFonts w:hint="eastAsia" w:ascii="黑体" w:hAnsi="黑体" w:eastAsia="黑体"/>
          <w:bCs/>
        </w:rPr>
        <w:t>（企业2表）</w:t>
      </w:r>
      <w:r>
        <w:rPr>
          <w:rFonts w:ascii="黑体" w:hAnsi="黑体" w:eastAsia="黑体"/>
          <w:bCs/>
        </w:rPr>
        <w:t>：</w:t>
      </w:r>
      <w:r>
        <w:rPr>
          <w:rFonts w:eastAsiaTheme="minorEastAsia"/>
          <w:bCs/>
        </w:rPr>
        <w:t>是企业拥有或控制的能以货币计量的经济资源，包括各种财产、债权和其他权利。资产按其流动性(即资产的变现能力和支付能力)划分为：流动资产、长期投资、固定资产、无形资产、递延资产和其他资产。</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负债合计</w:t>
      </w:r>
      <w:r>
        <w:rPr>
          <w:rFonts w:hint="eastAsia" w:ascii="黑体" w:hAnsi="黑体" w:eastAsia="黑体"/>
          <w:bCs/>
        </w:rPr>
        <w:t>（企业2表）</w:t>
      </w:r>
      <w:r>
        <w:rPr>
          <w:rFonts w:ascii="黑体" w:hAnsi="黑体" w:eastAsia="黑体"/>
          <w:bCs/>
        </w:rPr>
        <w:t>：</w:t>
      </w:r>
      <w:r>
        <w:rPr>
          <w:rFonts w:eastAsiaTheme="minorEastAsia"/>
          <w:bCs/>
        </w:rPr>
        <w:t>指企业所承担的能以货币计量，将以资产或劳务偿付的债务，偿还形式包括货币、资产或提供劳务。负债一般按偿还期长短分为流动负债和长期负债。</w:t>
      </w:r>
    </w:p>
    <w:p>
      <w:pPr>
        <w:spacing w:line="480" w:lineRule="auto"/>
        <w:ind w:firstLine="420" w:firstLineChars="200"/>
        <w:jc w:val="left"/>
        <w:rPr>
          <w:rFonts w:eastAsiaTheme="minorEastAsia"/>
          <w:bCs/>
        </w:rPr>
      </w:pPr>
      <w:r>
        <w:rPr>
          <w:rFonts w:hint="eastAsia" w:eastAsiaTheme="minorEastAsia"/>
          <w:bCs/>
        </w:rPr>
        <w:t>9</w:t>
      </w:r>
      <w:r>
        <w:rPr>
          <w:rFonts w:eastAsiaTheme="minorEastAsia"/>
          <w:bCs/>
        </w:rPr>
        <w:t>、</w:t>
      </w:r>
      <w:r>
        <w:rPr>
          <w:rFonts w:ascii="黑体" w:hAnsi="黑体" w:eastAsia="黑体"/>
          <w:bCs/>
        </w:rPr>
        <w:t>主营业务收入</w:t>
      </w:r>
      <w:r>
        <w:rPr>
          <w:rFonts w:hint="eastAsia" w:ascii="黑体" w:hAnsi="黑体" w:eastAsia="黑体"/>
          <w:bCs/>
        </w:rPr>
        <w:t>（企业2表、企业3表）</w:t>
      </w:r>
      <w:r>
        <w:rPr>
          <w:rFonts w:ascii="黑体" w:hAnsi="黑体" w:eastAsia="黑体"/>
          <w:bCs/>
        </w:rPr>
        <w:t>：</w:t>
      </w:r>
      <w:r>
        <w:rPr>
          <w:rFonts w:eastAsiaTheme="minorEastAsia"/>
          <w:bCs/>
        </w:rPr>
        <w:t>指企业在销售商品、提供劳务等日常活动中所产生的收入总额。此项目应根据相关行业的“产品销售收入”、“商品销售收入”、“主营业务收入”、“营业收入”、“工程结算收入”等科目发生额填列。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0</w:t>
      </w:r>
      <w:r>
        <w:rPr>
          <w:rFonts w:eastAsiaTheme="minorEastAsia"/>
          <w:bCs/>
        </w:rPr>
        <w:t>、</w:t>
      </w:r>
      <w:r>
        <w:rPr>
          <w:rFonts w:ascii="黑体" w:hAnsi="黑体" w:eastAsia="黑体"/>
          <w:bCs/>
        </w:rPr>
        <w:t>其他业务收入</w:t>
      </w:r>
      <w:r>
        <w:rPr>
          <w:rFonts w:hint="eastAsia" w:ascii="黑体" w:hAnsi="黑体" w:eastAsia="黑体"/>
          <w:bCs/>
        </w:rPr>
        <w:t>（企业2表、企业3表）</w:t>
      </w:r>
      <w:r>
        <w:rPr>
          <w:rFonts w:ascii="黑体" w:hAnsi="黑体" w:eastAsia="黑体"/>
          <w:bCs/>
        </w:rPr>
        <w:t>：</w:t>
      </w:r>
      <w:r>
        <w:rPr>
          <w:rFonts w:eastAsiaTheme="minorEastAsia"/>
          <w:bCs/>
        </w:rPr>
        <w:t>指各类企业主营业务以外其他业务的收入，根据会计“利润表”中对应指标年末累计数填列。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1</w:t>
      </w:r>
      <w:r>
        <w:rPr>
          <w:rFonts w:eastAsiaTheme="minorEastAsia"/>
          <w:bCs/>
        </w:rPr>
        <w:t>、</w:t>
      </w:r>
      <w:r>
        <w:rPr>
          <w:rFonts w:ascii="黑体" w:hAnsi="黑体" w:eastAsia="黑体"/>
          <w:bCs/>
        </w:rPr>
        <w:t>主营业务成本</w:t>
      </w:r>
      <w:r>
        <w:rPr>
          <w:rFonts w:hint="eastAsia" w:ascii="黑体" w:hAnsi="黑体" w:eastAsia="黑体"/>
          <w:bCs/>
        </w:rPr>
        <w:t>（企业2表、企业3表）</w:t>
      </w:r>
      <w:r>
        <w:rPr>
          <w:rFonts w:ascii="黑体" w:hAnsi="黑体" w:eastAsia="黑体"/>
          <w:bCs/>
        </w:rPr>
        <w:t>：</w:t>
      </w:r>
      <w:r>
        <w:rPr>
          <w:rFonts w:eastAsiaTheme="minorEastAsia"/>
          <w:bCs/>
        </w:rPr>
        <w:t>指企业因销售商品或提供劳务等日常活动而发生的实际成本。</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2</w:t>
      </w:r>
      <w:r>
        <w:rPr>
          <w:rFonts w:eastAsiaTheme="minorEastAsia"/>
          <w:bCs/>
        </w:rPr>
        <w:t>、</w:t>
      </w:r>
      <w:r>
        <w:rPr>
          <w:rFonts w:ascii="黑体" w:hAnsi="黑体" w:eastAsia="黑体"/>
          <w:bCs/>
        </w:rPr>
        <w:t>营业费用</w:t>
      </w:r>
      <w:r>
        <w:rPr>
          <w:rFonts w:hint="eastAsia" w:ascii="黑体" w:hAnsi="黑体" w:eastAsia="黑体"/>
          <w:bCs/>
        </w:rPr>
        <w:t>（企业2表、企业3表）</w:t>
      </w:r>
      <w:r>
        <w:rPr>
          <w:rFonts w:ascii="黑体" w:hAnsi="黑体" w:eastAsia="黑体"/>
          <w:bCs/>
        </w:rPr>
        <w:t>：</w:t>
      </w:r>
      <w:r>
        <w:rPr>
          <w:rFonts w:eastAsiaTheme="minorEastAsia"/>
          <w:bCs/>
        </w:rPr>
        <w:t>指企业在销售商品、提供劳务过程中发生的各项费用，包括运输费、装卸费、包装费、保险费、广告费、商品损耗、进出口商品累计佣金、经营人员的工资及福利费等。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3</w:t>
      </w:r>
      <w:r>
        <w:rPr>
          <w:rFonts w:eastAsiaTheme="minorEastAsia"/>
          <w:bCs/>
        </w:rPr>
        <w:t>、</w:t>
      </w:r>
      <w:r>
        <w:rPr>
          <w:rFonts w:ascii="黑体" w:hAnsi="黑体" w:eastAsia="黑体"/>
          <w:bCs/>
        </w:rPr>
        <w:t>主营业务税金及附加</w:t>
      </w:r>
      <w:r>
        <w:rPr>
          <w:rFonts w:hint="eastAsia" w:ascii="黑体" w:hAnsi="黑体" w:eastAsia="黑体"/>
          <w:bCs/>
        </w:rPr>
        <w:t>（企业2表、企业3表）</w:t>
      </w:r>
      <w:r>
        <w:rPr>
          <w:rFonts w:ascii="黑体" w:hAnsi="黑体" w:eastAsia="黑体"/>
          <w:bCs/>
        </w:rPr>
        <w:t>：</w:t>
      </w:r>
      <w:r>
        <w:rPr>
          <w:rFonts w:eastAsiaTheme="minorEastAsia"/>
          <w:bCs/>
        </w:rPr>
        <w:t>指企业经营主要业务应负担的营业税、消费税、城市维护建设税、资源税、土地增值税和教育费附加等。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4</w:t>
      </w:r>
      <w:r>
        <w:rPr>
          <w:rFonts w:eastAsiaTheme="minorEastAsia"/>
          <w:bCs/>
        </w:rPr>
        <w:t>、</w:t>
      </w:r>
      <w:r>
        <w:rPr>
          <w:rFonts w:ascii="黑体" w:hAnsi="黑体" w:eastAsia="黑体"/>
          <w:bCs/>
        </w:rPr>
        <w:t>主营业务利润</w:t>
      </w:r>
      <w:r>
        <w:rPr>
          <w:rFonts w:hint="eastAsia" w:ascii="黑体" w:hAnsi="黑体" w:eastAsia="黑体"/>
          <w:bCs/>
        </w:rPr>
        <w:t>（企业3表）</w:t>
      </w:r>
      <w:r>
        <w:rPr>
          <w:rFonts w:ascii="黑体" w:hAnsi="黑体" w:eastAsia="黑体"/>
          <w:bCs/>
        </w:rPr>
        <w:t>：</w:t>
      </w:r>
      <w:r>
        <w:rPr>
          <w:rFonts w:eastAsiaTheme="minorEastAsia"/>
          <w:bCs/>
        </w:rPr>
        <w:t>指企业的主营业务收入减去主营业务成本和主营业务税金及附加后的余额，根据会计“利润表”中对应指标年末累计数填列。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5</w:t>
      </w:r>
      <w:r>
        <w:rPr>
          <w:rFonts w:eastAsiaTheme="minorEastAsia"/>
          <w:bCs/>
        </w:rPr>
        <w:t>、</w:t>
      </w:r>
      <w:r>
        <w:rPr>
          <w:rFonts w:ascii="黑体" w:hAnsi="黑体" w:eastAsia="黑体"/>
          <w:bCs/>
        </w:rPr>
        <w:t>管理费用</w:t>
      </w:r>
      <w:r>
        <w:rPr>
          <w:rFonts w:hint="eastAsia" w:ascii="黑体" w:hAnsi="黑体" w:eastAsia="黑体"/>
          <w:bCs/>
        </w:rPr>
        <w:t>（企业2表、企业3表）</w:t>
      </w:r>
      <w:r>
        <w:rPr>
          <w:rFonts w:ascii="黑体" w:hAnsi="黑体" w:eastAsia="黑体"/>
          <w:bCs/>
        </w:rPr>
        <w:t>：</w:t>
      </w:r>
      <w:r>
        <w:rPr>
          <w:rFonts w:eastAsiaTheme="minorEastAsia"/>
          <w:bCs/>
        </w:rPr>
        <w:t>指企业行政管理部门为组织和管理生产经营活动而发生的各项费用。</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6</w:t>
      </w:r>
      <w:r>
        <w:rPr>
          <w:rFonts w:eastAsiaTheme="minorEastAsia"/>
          <w:bCs/>
        </w:rPr>
        <w:t>、</w:t>
      </w:r>
      <w:r>
        <w:rPr>
          <w:rFonts w:ascii="黑体" w:hAnsi="黑体" w:eastAsia="黑体"/>
          <w:bCs/>
        </w:rPr>
        <w:t>财务费用</w:t>
      </w:r>
      <w:r>
        <w:rPr>
          <w:rFonts w:hint="eastAsia" w:ascii="黑体" w:hAnsi="黑体" w:eastAsia="黑体"/>
          <w:bCs/>
        </w:rPr>
        <w:t>（企业2表、企业3表）</w:t>
      </w:r>
      <w:r>
        <w:rPr>
          <w:rFonts w:ascii="黑体" w:hAnsi="黑体" w:eastAsia="黑体"/>
          <w:bCs/>
        </w:rPr>
        <w:t>：</w:t>
      </w:r>
      <w:r>
        <w:rPr>
          <w:rFonts w:eastAsiaTheme="minorEastAsia"/>
          <w:bCs/>
        </w:rPr>
        <w:t>指企业为筹集生产经营所需资金等而发生的费用，包括利息支出、汇兑损失以及相关的金融机构手续费等。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7</w:t>
      </w:r>
      <w:r>
        <w:rPr>
          <w:rFonts w:eastAsiaTheme="minorEastAsia"/>
          <w:bCs/>
        </w:rPr>
        <w:t>、</w:t>
      </w:r>
      <w:r>
        <w:rPr>
          <w:rFonts w:ascii="黑体" w:hAnsi="黑体" w:eastAsia="黑体"/>
          <w:bCs/>
        </w:rPr>
        <w:t>利息支出</w:t>
      </w:r>
      <w:r>
        <w:rPr>
          <w:rFonts w:hint="eastAsia" w:ascii="黑体" w:hAnsi="黑体" w:eastAsia="黑体"/>
          <w:bCs/>
        </w:rPr>
        <w:t>（企业2表）</w:t>
      </w:r>
      <w:r>
        <w:rPr>
          <w:rFonts w:ascii="黑体" w:hAnsi="黑体" w:eastAsia="黑体"/>
          <w:bCs/>
        </w:rPr>
        <w:t>：</w:t>
      </w:r>
      <w:r>
        <w:rPr>
          <w:rFonts w:eastAsiaTheme="minorEastAsia"/>
          <w:bCs/>
        </w:rPr>
        <w:t>指企业短期借款利息、长期借款利息、应付票据利息、票据贴现利息、应付债券利息、长期应付引进国外设备款利息等利息支出。如果企业没有单独设立该科目，应填报利息支出减去银行存款等的利息收入后的金额。</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8</w:t>
      </w:r>
      <w:r>
        <w:rPr>
          <w:rFonts w:eastAsiaTheme="minorEastAsia"/>
          <w:bCs/>
        </w:rPr>
        <w:t>、</w:t>
      </w:r>
      <w:r>
        <w:rPr>
          <w:rFonts w:ascii="黑体" w:hAnsi="黑体" w:eastAsia="黑体"/>
          <w:bCs/>
        </w:rPr>
        <w:t>利息收入</w:t>
      </w:r>
      <w:r>
        <w:rPr>
          <w:rFonts w:hint="eastAsia" w:ascii="黑体" w:hAnsi="黑体" w:eastAsia="黑体"/>
          <w:bCs/>
        </w:rPr>
        <w:t>（企业2表）</w:t>
      </w:r>
      <w:r>
        <w:rPr>
          <w:rFonts w:ascii="黑体" w:hAnsi="黑体" w:eastAsia="黑体"/>
          <w:bCs/>
        </w:rPr>
        <w:t>：</w:t>
      </w:r>
      <w:r>
        <w:rPr>
          <w:rFonts w:eastAsiaTheme="minorEastAsia"/>
          <w:bCs/>
        </w:rPr>
        <w:t>指非金融企业存款业务所确认的利息金额。如果企业没有单独设立该科目，此处可填0。</w:t>
      </w:r>
    </w:p>
    <w:p>
      <w:pPr>
        <w:spacing w:line="480" w:lineRule="auto"/>
        <w:ind w:firstLine="420" w:firstLineChars="200"/>
        <w:jc w:val="left"/>
        <w:rPr>
          <w:rFonts w:eastAsiaTheme="minorEastAsia"/>
          <w:bCs/>
        </w:rPr>
      </w:pPr>
      <w:r>
        <w:rPr>
          <w:rFonts w:hint="eastAsia" w:eastAsiaTheme="minorEastAsia"/>
          <w:bCs/>
        </w:rPr>
        <w:t>19</w:t>
      </w:r>
      <w:r>
        <w:rPr>
          <w:rFonts w:eastAsiaTheme="minorEastAsia"/>
          <w:bCs/>
        </w:rPr>
        <w:t>、</w:t>
      </w:r>
      <w:r>
        <w:rPr>
          <w:rFonts w:ascii="黑体" w:hAnsi="黑体" w:eastAsia="黑体"/>
          <w:bCs/>
        </w:rPr>
        <w:t>利润总额</w:t>
      </w:r>
      <w:r>
        <w:rPr>
          <w:rFonts w:hint="eastAsia" w:ascii="黑体" w:hAnsi="黑体" w:eastAsia="黑体"/>
          <w:bCs/>
        </w:rPr>
        <w:t>（企业2表、企业3表）</w:t>
      </w:r>
      <w:r>
        <w:rPr>
          <w:rFonts w:ascii="黑体" w:hAnsi="黑体" w:eastAsia="黑体"/>
          <w:bCs/>
        </w:rPr>
        <w:t>：</w:t>
      </w:r>
      <w:r>
        <w:rPr>
          <w:rFonts w:eastAsiaTheme="minorEastAsia"/>
          <w:bCs/>
        </w:rPr>
        <w:t>指企业在生产经营过程中各种收入扣除各种耗费后的盈余，反映企业在报告期内实现的亏盈总额，包括营业利润、补贴收入、投资净收益和营业外收支净额。</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0</w:t>
      </w:r>
      <w:r>
        <w:rPr>
          <w:rFonts w:eastAsiaTheme="minorEastAsia"/>
          <w:bCs/>
        </w:rPr>
        <w:t>、</w:t>
      </w:r>
      <w:r>
        <w:rPr>
          <w:rFonts w:ascii="黑体" w:hAnsi="黑体" w:eastAsia="黑体"/>
          <w:bCs/>
        </w:rPr>
        <w:t>应交增值税</w:t>
      </w:r>
      <w:r>
        <w:rPr>
          <w:rFonts w:hint="eastAsia" w:ascii="黑体" w:hAnsi="黑体" w:eastAsia="黑体"/>
          <w:bCs/>
        </w:rPr>
        <w:t>（企业2表）</w:t>
      </w:r>
      <w:r>
        <w:rPr>
          <w:rFonts w:ascii="黑体" w:hAnsi="黑体" w:eastAsia="黑体"/>
          <w:bCs/>
        </w:rPr>
        <w:t>：</w:t>
      </w:r>
      <w:r>
        <w:rPr>
          <w:rFonts w:eastAsiaTheme="minorEastAsia"/>
          <w:bCs/>
        </w:rPr>
        <w:t>指企业按税法规定，从事货物销售或提供加工、修理修配劳务等增加货物价值的活动本期应交纳的税金。指企业在报告期应交增值税额。计算公式为：应交增值税＝销项税额－(进项税额－进项税额转出)－出口抵减内销产品应纳税额－减免税款﹢出口退税</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1</w:t>
      </w:r>
      <w:r>
        <w:rPr>
          <w:rFonts w:eastAsiaTheme="minorEastAsia"/>
          <w:bCs/>
        </w:rPr>
        <w:t>、</w:t>
      </w:r>
      <w:r>
        <w:rPr>
          <w:rFonts w:ascii="黑体" w:hAnsi="黑体" w:eastAsia="黑体"/>
          <w:bCs/>
        </w:rPr>
        <w:t>从业人员期末人数</w:t>
      </w:r>
      <w:r>
        <w:rPr>
          <w:rFonts w:hint="eastAsia" w:ascii="黑体" w:hAnsi="黑体" w:eastAsia="黑体"/>
          <w:bCs/>
        </w:rPr>
        <w:t>（企业2表）</w:t>
      </w:r>
      <w:r>
        <w:rPr>
          <w:rFonts w:ascii="黑体" w:hAnsi="黑体" w:eastAsia="黑体"/>
          <w:bCs/>
        </w:rPr>
        <w:t>：</w:t>
      </w:r>
      <w:r>
        <w:rPr>
          <w:rFonts w:eastAsiaTheme="minorEastAsia"/>
          <w:bCs/>
        </w:rPr>
        <w:t>指在本单位工作并取得劳动报酬或收入的期末实有人员数。</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2</w:t>
      </w:r>
      <w:r>
        <w:rPr>
          <w:rFonts w:eastAsiaTheme="minorEastAsia"/>
          <w:bCs/>
        </w:rPr>
        <w:t>、</w:t>
      </w:r>
      <w:r>
        <w:rPr>
          <w:rFonts w:ascii="黑体" w:hAnsi="黑体" w:eastAsia="黑体"/>
          <w:bCs/>
        </w:rPr>
        <w:t>年末营业面积</w:t>
      </w:r>
      <w:r>
        <w:rPr>
          <w:rFonts w:hint="eastAsia" w:ascii="黑体" w:hAnsi="黑体" w:eastAsia="黑体"/>
          <w:bCs/>
        </w:rPr>
        <w:t>（企业3表）</w:t>
      </w:r>
      <w:r>
        <w:rPr>
          <w:rFonts w:ascii="黑体" w:hAnsi="黑体" w:eastAsia="黑体"/>
          <w:bCs/>
        </w:rPr>
        <w:t>：</w:t>
      </w:r>
      <w:r>
        <w:rPr>
          <w:rFonts w:eastAsiaTheme="minorEastAsia"/>
          <w:bCs/>
        </w:rPr>
        <w:t>指企业对外营业的门店建筑面积，不包括办公用房面积和仓库面积。该指标按年末实有面积统计。</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3</w:t>
      </w:r>
      <w:r>
        <w:rPr>
          <w:rFonts w:eastAsiaTheme="minorEastAsia"/>
          <w:bCs/>
        </w:rPr>
        <w:t>、</w:t>
      </w:r>
      <w:r>
        <w:rPr>
          <w:rFonts w:ascii="黑体" w:hAnsi="黑体" w:eastAsia="黑体"/>
          <w:bCs/>
        </w:rPr>
        <w:t>经营品种</w:t>
      </w:r>
      <w:r>
        <w:rPr>
          <w:rFonts w:hint="eastAsia" w:ascii="黑体" w:hAnsi="黑体" w:eastAsia="黑体"/>
          <w:bCs/>
        </w:rPr>
        <w:t>（企业3表）</w:t>
      </w:r>
      <w:r>
        <w:rPr>
          <w:rFonts w:ascii="黑体" w:hAnsi="黑体" w:eastAsia="黑体"/>
          <w:bCs/>
        </w:rPr>
        <w:t>：</w:t>
      </w:r>
      <w:r>
        <w:rPr>
          <w:rFonts w:eastAsiaTheme="minorEastAsia"/>
          <w:bCs/>
        </w:rPr>
        <w:t>指企业全年实际经营的商品品种数量。</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4</w:t>
      </w:r>
      <w:r>
        <w:rPr>
          <w:rFonts w:eastAsiaTheme="minorEastAsia"/>
          <w:bCs/>
        </w:rPr>
        <w:t>、</w:t>
      </w:r>
      <w:r>
        <w:rPr>
          <w:rFonts w:ascii="黑体" w:hAnsi="黑体" w:eastAsia="黑体"/>
          <w:bCs/>
        </w:rPr>
        <w:t>连锁经营门店（柜台）数</w:t>
      </w:r>
      <w:r>
        <w:rPr>
          <w:rFonts w:hint="eastAsia" w:ascii="黑体" w:hAnsi="黑体" w:eastAsia="黑体"/>
          <w:bCs/>
        </w:rPr>
        <w:t>（企业3表）</w:t>
      </w:r>
      <w:r>
        <w:rPr>
          <w:rFonts w:ascii="黑体" w:hAnsi="黑体" w:eastAsia="黑体"/>
          <w:bCs/>
        </w:rPr>
        <w:t>：</w:t>
      </w:r>
      <w:r>
        <w:rPr>
          <w:rFonts w:eastAsiaTheme="minorEastAsia"/>
          <w:bCs/>
        </w:rPr>
        <w:t>指经营方式为连锁经营的门店，项下包括直营店（柜台）和加盟店（柜台）总数量。</w:t>
      </w:r>
    </w:p>
    <w:p>
      <w:pPr>
        <w:spacing w:line="480" w:lineRule="auto"/>
        <w:ind w:firstLine="420" w:firstLineChars="200"/>
        <w:jc w:val="left"/>
        <w:rPr>
          <w:rFonts w:eastAsiaTheme="minorEastAsia"/>
          <w:bCs/>
        </w:rPr>
      </w:pPr>
      <w:r>
        <w:rPr>
          <w:rFonts w:hint="eastAsia" w:eastAsiaTheme="minorEastAsia"/>
          <w:bCs/>
        </w:rPr>
        <w:t>25</w:t>
      </w:r>
      <w:r>
        <w:rPr>
          <w:rFonts w:eastAsiaTheme="minorEastAsia"/>
          <w:bCs/>
        </w:rPr>
        <w:t>、</w:t>
      </w:r>
      <w:r>
        <w:rPr>
          <w:rFonts w:ascii="黑体" w:hAnsi="黑体" w:eastAsia="黑体"/>
          <w:bCs/>
        </w:rPr>
        <w:t>出口价格</w:t>
      </w:r>
      <w:r>
        <w:rPr>
          <w:rFonts w:hint="eastAsia" w:ascii="黑体" w:hAnsi="黑体" w:eastAsia="黑体"/>
          <w:bCs/>
        </w:rPr>
        <w:t>（产品1表、产品2表、产品4表）</w:t>
      </w:r>
      <w:r>
        <w:rPr>
          <w:rFonts w:ascii="黑体" w:hAnsi="黑体" w:eastAsia="黑体"/>
          <w:bCs/>
        </w:rPr>
        <w:t>：</w:t>
      </w:r>
      <w:r>
        <w:rPr>
          <w:rFonts w:eastAsiaTheme="minorEastAsia"/>
          <w:bCs/>
        </w:rPr>
        <w:t>出口产品出厂时的交易价格（即离岸价FOB）。如按到岸价（CIF）对外成交的，应减去商品离境后所发生的应由我方负担的以外汇支付的国外运费、保险费、佣金和银行财务费等成本。</w:t>
      </w:r>
    </w:p>
    <w:p>
      <w:pPr>
        <w:spacing w:line="480" w:lineRule="auto"/>
        <w:ind w:firstLine="420" w:firstLineChars="200"/>
        <w:jc w:val="left"/>
        <w:rPr>
          <w:rFonts w:eastAsiaTheme="minorEastAsia"/>
          <w:bCs/>
        </w:rPr>
      </w:pPr>
      <w:r>
        <w:rPr>
          <w:rFonts w:hint="eastAsia" w:eastAsiaTheme="minorEastAsia"/>
          <w:bCs/>
        </w:rPr>
        <w:t>26</w:t>
      </w:r>
      <w:r>
        <w:rPr>
          <w:rFonts w:eastAsiaTheme="minorEastAsia"/>
          <w:bCs/>
        </w:rPr>
        <w:t>、</w:t>
      </w:r>
      <w:r>
        <w:rPr>
          <w:rFonts w:ascii="黑体" w:hAnsi="黑体" w:eastAsia="黑体"/>
          <w:bCs/>
        </w:rPr>
        <w:t>内销价格</w:t>
      </w:r>
      <w:r>
        <w:rPr>
          <w:rFonts w:hint="eastAsia" w:ascii="黑体" w:hAnsi="黑体" w:eastAsia="黑体"/>
          <w:bCs/>
        </w:rPr>
        <w:t>（产品1表、产品2表、产品4表）</w:t>
      </w:r>
      <w:r>
        <w:rPr>
          <w:rFonts w:ascii="黑体" w:hAnsi="黑体" w:eastAsia="黑体"/>
          <w:bCs/>
        </w:rPr>
        <w:t>：</w:t>
      </w:r>
      <w:r>
        <w:rPr>
          <w:rFonts w:eastAsiaTheme="minorEastAsia"/>
          <w:bCs/>
        </w:rPr>
        <w:t>内销产品出厂时的交易价格（含税价格）。</w:t>
      </w:r>
    </w:p>
    <w:p>
      <w:pPr>
        <w:spacing w:line="480" w:lineRule="auto"/>
        <w:ind w:firstLine="420" w:firstLineChars="200"/>
        <w:jc w:val="left"/>
        <w:rPr>
          <w:rFonts w:eastAsiaTheme="minorEastAsia"/>
          <w:bCs/>
        </w:rPr>
      </w:pPr>
      <w:r>
        <w:rPr>
          <w:rFonts w:eastAsiaTheme="minorEastAsia"/>
          <w:bCs/>
        </w:rPr>
        <w:t>内销价格的计算方法是：某类产品在报告期内的加权平均价格。</w:t>
      </w:r>
    </w:p>
    <w:p>
      <w:pPr>
        <w:spacing w:line="480" w:lineRule="auto"/>
        <w:ind w:firstLine="420" w:firstLineChars="200"/>
        <w:jc w:val="left"/>
        <w:rPr>
          <w:rFonts w:eastAsiaTheme="minorEastAsia"/>
          <w:bCs/>
        </w:rPr>
      </w:pPr>
      <w:r>
        <w:rPr>
          <w:rFonts w:eastAsiaTheme="minorEastAsia"/>
          <w:bCs/>
        </w:rPr>
        <w:t>如某类产品A，包含M1,M2,M3…Mn共n类子产品，各类子产品的内销数量分别为B1,B2,B3…Bn，各类子产品的内销价格分别为C1,C2,C3…Cn,则产品A的内销价格为D</w:t>
      </w:r>
    </w:p>
    <w:p>
      <w:pPr>
        <w:adjustRightInd w:val="0"/>
        <w:snapToGrid w:val="0"/>
        <w:ind w:firstLine="1680" w:firstLineChars="800"/>
      </w:pPr>
      <w:r>
        <w:rPr>
          <w:rFonts w:eastAsiaTheme="minorEastAsia"/>
          <w:bCs/>
        </w:rPr>
        <w:t xml:space="preserve"> </w:t>
      </w:r>
      <w:r>
        <w:t>B</w:t>
      </w:r>
      <w:r>
        <w:rPr>
          <w:vertAlign w:val="subscript"/>
        </w:rPr>
        <w:t>1</w:t>
      </w:r>
      <w:r>
        <w:t>× C</w:t>
      </w:r>
      <w:r>
        <w:rPr>
          <w:vertAlign w:val="subscript"/>
        </w:rPr>
        <w:t>1</w:t>
      </w:r>
      <w:r>
        <w:t>+ B</w:t>
      </w:r>
      <w:r>
        <w:rPr>
          <w:vertAlign w:val="subscript"/>
        </w:rPr>
        <w:t>2</w:t>
      </w:r>
      <w:r>
        <w:t>× C</w:t>
      </w:r>
      <w:r>
        <w:rPr>
          <w:vertAlign w:val="subscript"/>
        </w:rPr>
        <w:t>2</w:t>
      </w:r>
      <w:r>
        <w:t>+ B</w:t>
      </w:r>
      <w:r>
        <w:rPr>
          <w:vertAlign w:val="subscript"/>
        </w:rPr>
        <w:t>3</w:t>
      </w:r>
      <w:r>
        <w:t>× C</w:t>
      </w:r>
      <w:r>
        <w:rPr>
          <w:vertAlign w:val="subscript"/>
        </w:rPr>
        <w:t>3</w:t>
      </w:r>
      <w:r>
        <w:t>+…B</w:t>
      </w:r>
      <w:r>
        <w:rPr>
          <w:vertAlign w:val="subscript"/>
        </w:rPr>
        <w:t>n</w:t>
      </w:r>
      <w:r>
        <w:t>×C</w:t>
      </w:r>
      <w:r>
        <w:rPr>
          <w:vertAlign w:val="subscript"/>
        </w:rPr>
        <w:t>n</w:t>
      </w:r>
    </w:p>
    <w:p>
      <w:pPr>
        <w:tabs>
          <w:tab w:val="left" w:pos="5700"/>
        </w:tabs>
        <w:adjustRightInd w:val="0"/>
        <w:snapToGrid w:val="0"/>
        <w:ind w:firstLine="420" w:firstLineChars="200"/>
      </w:pPr>
      <w: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45720</wp:posOffset>
                </wp:positionV>
                <wp:extent cx="2933700" cy="0"/>
                <wp:effectExtent l="9525" t="7620" r="9525"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25pt;margin-top:3.6pt;height:0pt;width:231pt;z-index:251663360;mso-width-relative:page;mso-height-relative:page;" filled="f" stroked="t" coordsize="21600,21600" o:gfxdata="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mKv2/TAAAABgEAAA8AAAAAAAAAAQAgAAAAIgAAAGRycy9kb3ducmV2&#10;LnhtbFBLAQIUABQAAAAIAIdO4kDwnOOdyAEAAFwDAAAOAAAAAAAAAAEAIAAAACIBAABkcnMvZTJv&#10;RG9jLnhtbFBLBQYAAAAABgAGAFkBAABcBQAAAAA=&#10;">
                <v:fill on="f" focussize="0,0"/>
                <v:stroke color="#000000" joinstyle="round"/>
                <v:imagedata o:title=""/>
                <o:lock v:ext="edit" aspectratio="f"/>
              </v:line>
            </w:pict>
          </mc:Fallback>
        </mc:AlternateContent>
      </w:r>
      <w:r>
        <w:t>D=</w:t>
      </w:r>
      <w:r>
        <w:tab/>
      </w:r>
    </w:p>
    <w:p>
      <w:pPr>
        <w:adjustRightInd w:val="0"/>
        <w:snapToGrid w:val="0"/>
        <w:ind w:firstLine="2730" w:firstLineChars="1300"/>
        <w:rPr>
          <w:vertAlign w:val="subscript"/>
        </w:rPr>
      </w:pPr>
      <w:r>
        <w:t>B</w:t>
      </w:r>
      <w:r>
        <w:rPr>
          <w:vertAlign w:val="subscript"/>
        </w:rPr>
        <w:t>1</w:t>
      </w:r>
      <w:r>
        <w:t>+B</w:t>
      </w:r>
      <w:r>
        <w:rPr>
          <w:vertAlign w:val="subscript"/>
        </w:rPr>
        <w:t>2</w:t>
      </w:r>
      <w:r>
        <w:t>+B</w:t>
      </w:r>
      <w:r>
        <w:rPr>
          <w:vertAlign w:val="subscript"/>
        </w:rPr>
        <w:t>3</w:t>
      </w:r>
      <w:r>
        <w:t>…+B</w:t>
      </w:r>
      <w:r>
        <w:rPr>
          <w:vertAlign w:val="subscript"/>
        </w:rPr>
        <w:t>n</w:t>
      </w:r>
    </w:p>
    <w:p>
      <w:pPr>
        <w:spacing w:line="480" w:lineRule="auto"/>
        <w:ind w:firstLine="420" w:firstLineChars="200"/>
        <w:jc w:val="left"/>
        <w:rPr>
          <w:rFonts w:eastAsiaTheme="minorEastAsia"/>
          <w:bCs/>
        </w:rPr>
      </w:pPr>
      <w:r>
        <w:rPr>
          <w:rFonts w:hint="eastAsia" w:eastAsiaTheme="minorEastAsia"/>
          <w:bCs/>
        </w:rPr>
        <w:t>27、</w:t>
      </w:r>
      <w:r>
        <w:rPr>
          <w:rFonts w:hint="eastAsia" w:ascii="黑体" w:hAnsi="黑体" w:eastAsia="黑体"/>
          <w:bCs/>
        </w:rPr>
        <w:t>库存量（产品1表、产品2表、产品4表）</w:t>
      </w:r>
      <w:r>
        <w:rPr>
          <w:rFonts w:hint="eastAsia" w:eastAsiaTheme="minorEastAsia"/>
          <w:bCs/>
        </w:rPr>
        <w:t>：报告期内最后一天，企业已取得所有权的全部商品，包括本单位和寄存在外的商品，不包括在途、待检测和代外单位保存的产品数量。</w:t>
      </w:r>
    </w:p>
    <w:p>
      <w:pPr>
        <w:spacing w:line="480" w:lineRule="auto"/>
        <w:ind w:firstLine="422" w:firstLineChars="200"/>
        <w:jc w:val="left"/>
        <w:rPr>
          <w:rFonts w:eastAsiaTheme="minorEastAsia"/>
          <w:b/>
          <w:bCs/>
        </w:rPr>
      </w:pPr>
      <w:r>
        <w:rPr>
          <w:rFonts w:eastAsiaTheme="minorEastAsia"/>
          <w:b/>
          <w:bCs/>
        </w:rPr>
        <w:t>（三）茧丝绸产品主要指标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真丝绸</w:t>
      </w:r>
      <w:r>
        <w:rPr>
          <w:rFonts w:hint="eastAsia" w:ascii="黑体" w:hAnsi="黑体" w:eastAsia="黑体"/>
          <w:bCs/>
        </w:rPr>
        <w:t>（产品2表）</w:t>
      </w:r>
      <w:r>
        <w:rPr>
          <w:rFonts w:ascii="黑体" w:hAnsi="黑体" w:eastAsia="黑体"/>
          <w:bCs/>
        </w:rPr>
        <w:t>：</w:t>
      </w:r>
      <w:r>
        <w:rPr>
          <w:rFonts w:eastAsiaTheme="minorEastAsia"/>
          <w:bCs/>
        </w:rPr>
        <w:t>经线与纬线全部用蚕丝制造而成的梭织物。</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双绉</w:t>
      </w:r>
      <w:r>
        <w:rPr>
          <w:rFonts w:hint="eastAsia" w:ascii="黑体" w:hAnsi="黑体" w:eastAsia="黑体"/>
          <w:bCs/>
        </w:rPr>
        <w:t>（产品2表）</w:t>
      </w:r>
      <w:r>
        <w:rPr>
          <w:rFonts w:ascii="黑体" w:hAnsi="黑体" w:eastAsia="黑体"/>
          <w:bCs/>
        </w:rPr>
        <w:t>：</w:t>
      </w:r>
      <w:r>
        <w:rPr>
          <w:rFonts w:eastAsiaTheme="minorEastAsia"/>
          <w:bCs/>
        </w:rPr>
        <w:t>系平经绉纬（纬丝加强捻）平纹织物。经丝用无捻或弱捻丝（每厘米10捻以下），纬丝用两根或多根单丝并合后加强捻（每厘米20捻以上一般每厘米22-28捻）。分左捻和右捻两种，织造时两根左捻丝和两根右捻丝交替织入，形成织物表面的皱效果。</w:t>
      </w:r>
    </w:p>
    <w:p>
      <w:pPr>
        <w:spacing w:line="480" w:lineRule="auto"/>
        <w:ind w:firstLine="420" w:firstLineChars="200"/>
        <w:jc w:val="left"/>
        <w:rPr>
          <w:rFonts w:eastAsiaTheme="minorEastAsia"/>
          <w:bCs/>
        </w:rPr>
      </w:pPr>
      <w:r>
        <w:rPr>
          <w:rFonts w:eastAsiaTheme="minorEastAsia"/>
          <w:bCs/>
        </w:rPr>
        <w:t>3、</w:t>
      </w:r>
      <w:r>
        <w:rPr>
          <w:rFonts w:ascii="黑体" w:hAnsi="黑体" w:eastAsia="黑体"/>
          <w:bCs/>
        </w:rPr>
        <w:t>素绉缎</w:t>
      </w:r>
      <w:r>
        <w:rPr>
          <w:rFonts w:hint="eastAsia" w:ascii="黑体" w:hAnsi="黑体" w:eastAsia="黑体"/>
          <w:bCs/>
        </w:rPr>
        <w:t>（产品2表）</w:t>
      </w:r>
      <w:r>
        <w:rPr>
          <w:rFonts w:ascii="黑体" w:hAnsi="黑体" w:eastAsia="黑体"/>
          <w:bCs/>
        </w:rPr>
        <w:t>：</w:t>
      </w:r>
      <w:r>
        <w:rPr>
          <w:rFonts w:eastAsiaTheme="minorEastAsia"/>
          <w:bCs/>
        </w:rPr>
        <w:t>系平经绉纬缎纹织物。即经丝无捻，纬丝加强捻的织后精炼的、未经提花的缎纹织物。</w:t>
      </w:r>
    </w:p>
    <w:p>
      <w:pPr>
        <w:spacing w:line="480" w:lineRule="auto"/>
        <w:ind w:firstLine="420" w:firstLineChars="200"/>
        <w:jc w:val="left"/>
        <w:rPr>
          <w:rFonts w:eastAsiaTheme="minorEastAsia"/>
          <w:bCs/>
        </w:rPr>
      </w:pPr>
      <w:r>
        <w:rPr>
          <w:rFonts w:eastAsiaTheme="minorEastAsia"/>
          <w:bCs/>
        </w:rPr>
        <w:t>4、</w:t>
      </w:r>
      <w:r>
        <w:rPr>
          <w:rFonts w:ascii="黑体" w:hAnsi="黑体" w:eastAsia="黑体"/>
          <w:bCs/>
        </w:rPr>
        <w:t>乔其纱</w:t>
      </w:r>
      <w:r>
        <w:rPr>
          <w:rFonts w:hint="eastAsia" w:ascii="黑体" w:hAnsi="黑体" w:eastAsia="黑体"/>
          <w:bCs/>
        </w:rPr>
        <w:t>（产品2表）</w:t>
      </w:r>
      <w:r>
        <w:rPr>
          <w:rFonts w:ascii="黑体" w:hAnsi="黑体" w:eastAsia="黑体"/>
          <w:bCs/>
        </w:rPr>
        <w:t>：</w:t>
      </w:r>
      <w:r>
        <w:rPr>
          <w:rFonts w:eastAsiaTheme="minorEastAsia"/>
          <w:bCs/>
        </w:rPr>
        <w:t>系绉经绉纬平纹织物。经纬丝均采用强捻丝，织造时二左二右间隔排列，质地稀疏轻薄，绸面有纱眼和绉效应的织物。</w:t>
      </w:r>
    </w:p>
    <w:p>
      <w:pPr>
        <w:spacing w:line="480" w:lineRule="auto"/>
        <w:ind w:firstLine="420" w:firstLineChars="200"/>
        <w:jc w:val="left"/>
        <w:rPr>
          <w:rFonts w:eastAsiaTheme="minorEastAsia"/>
          <w:bCs/>
        </w:rPr>
      </w:pPr>
      <w:r>
        <w:rPr>
          <w:rFonts w:eastAsiaTheme="minorEastAsia"/>
          <w:bCs/>
        </w:rPr>
        <w:t>5、</w:t>
      </w:r>
      <w:r>
        <w:rPr>
          <w:rFonts w:ascii="黑体" w:hAnsi="黑体" w:eastAsia="黑体"/>
          <w:bCs/>
        </w:rPr>
        <w:t>电力纺</w:t>
      </w:r>
      <w:r>
        <w:rPr>
          <w:rFonts w:hint="eastAsia" w:ascii="黑体" w:hAnsi="黑体" w:eastAsia="黑体"/>
          <w:bCs/>
        </w:rPr>
        <w:t>（产品2表）</w:t>
      </w:r>
      <w:r>
        <w:rPr>
          <w:rFonts w:ascii="黑体" w:hAnsi="黑体" w:eastAsia="黑体"/>
          <w:bCs/>
        </w:rPr>
        <w:t>：</w:t>
      </w:r>
      <w:r>
        <w:rPr>
          <w:rFonts w:eastAsiaTheme="minorEastAsia"/>
          <w:bCs/>
        </w:rPr>
        <w:t>经纬均不加捻的平纹织物。</w:t>
      </w:r>
    </w:p>
    <w:p>
      <w:pPr>
        <w:spacing w:line="480" w:lineRule="auto"/>
        <w:ind w:firstLine="420" w:firstLineChars="200"/>
        <w:jc w:val="left"/>
        <w:rPr>
          <w:rFonts w:eastAsiaTheme="minorEastAsia"/>
          <w:bCs/>
        </w:rPr>
      </w:pPr>
      <w:r>
        <w:rPr>
          <w:rFonts w:eastAsiaTheme="minorEastAsia"/>
          <w:bCs/>
        </w:rPr>
        <w:t>6、</w:t>
      </w:r>
      <w:r>
        <w:rPr>
          <w:rFonts w:ascii="黑体" w:hAnsi="黑体" w:eastAsia="黑体"/>
          <w:bCs/>
        </w:rPr>
        <w:t>斜纹绸</w:t>
      </w:r>
      <w:r>
        <w:rPr>
          <w:rFonts w:hint="eastAsia" w:ascii="黑体" w:hAnsi="黑体" w:eastAsia="黑体"/>
          <w:bCs/>
        </w:rPr>
        <w:t>（产品2表）</w:t>
      </w:r>
      <w:r>
        <w:rPr>
          <w:rFonts w:ascii="黑体" w:hAnsi="黑体" w:eastAsia="黑体"/>
          <w:bCs/>
        </w:rPr>
        <w:t>：</w:t>
      </w:r>
      <w:r>
        <w:rPr>
          <w:rFonts w:eastAsiaTheme="minorEastAsia"/>
          <w:bCs/>
        </w:rPr>
        <w:t>应用斜纹组织或变化斜纹组织，绸面呈明显斜向纹路的织物。</w:t>
      </w:r>
    </w:p>
    <w:p>
      <w:pPr>
        <w:spacing w:line="480" w:lineRule="auto"/>
        <w:ind w:firstLine="420" w:firstLineChars="200"/>
        <w:jc w:val="left"/>
        <w:rPr>
          <w:rFonts w:eastAsiaTheme="minorEastAsia"/>
          <w:bCs/>
        </w:rPr>
      </w:pPr>
      <w:r>
        <w:rPr>
          <w:rFonts w:eastAsiaTheme="minorEastAsia"/>
          <w:bCs/>
        </w:rPr>
        <w:t>7、</w:t>
      </w:r>
      <w:r>
        <w:rPr>
          <w:rFonts w:ascii="黑体" w:hAnsi="黑体" w:eastAsia="黑体"/>
          <w:bCs/>
        </w:rPr>
        <w:t>真丝交织织物</w:t>
      </w:r>
      <w:r>
        <w:rPr>
          <w:rFonts w:hint="eastAsia" w:ascii="黑体" w:hAnsi="黑体" w:eastAsia="黑体"/>
          <w:bCs/>
        </w:rPr>
        <w:t>（产品2表）</w:t>
      </w:r>
      <w:r>
        <w:rPr>
          <w:rFonts w:ascii="黑体" w:hAnsi="黑体" w:eastAsia="黑体"/>
          <w:bCs/>
        </w:rPr>
        <w:t>：</w:t>
      </w:r>
      <w:r>
        <w:rPr>
          <w:rFonts w:eastAsiaTheme="minorEastAsia"/>
          <w:bCs/>
        </w:rPr>
        <w:t>由蚕丝与其他纤维长丝、纱线交织制成的织物。</w:t>
      </w:r>
    </w:p>
    <w:p>
      <w:pPr>
        <w:spacing w:line="480" w:lineRule="auto"/>
        <w:ind w:firstLine="420" w:firstLineChars="200"/>
        <w:jc w:val="left"/>
        <w:rPr>
          <w:rFonts w:eastAsiaTheme="minorEastAsia"/>
          <w:bCs/>
        </w:rPr>
      </w:pPr>
      <w:r>
        <w:rPr>
          <w:rFonts w:eastAsiaTheme="minorEastAsia"/>
          <w:bCs/>
        </w:rPr>
        <w:t>8、</w:t>
      </w:r>
      <w:r>
        <w:rPr>
          <w:rFonts w:ascii="黑体" w:hAnsi="黑体" w:eastAsia="黑体"/>
          <w:bCs/>
        </w:rPr>
        <w:t>真丝混纺织物</w:t>
      </w:r>
      <w:r>
        <w:rPr>
          <w:rFonts w:hint="eastAsia" w:ascii="黑体" w:hAnsi="黑体" w:eastAsia="黑体"/>
          <w:bCs/>
        </w:rPr>
        <w:t>（产品2表）</w:t>
      </w:r>
      <w:r>
        <w:rPr>
          <w:rFonts w:ascii="黑体" w:hAnsi="黑体" w:eastAsia="黑体"/>
          <w:bCs/>
        </w:rPr>
        <w:t>：</w:t>
      </w:r>
      <w:r>
        <w:rPr>
          <w:rFonts w:eastAsiaTheme="minorEastAsia"/>
          <w:bCs/>
        </w:rPr>
        <w:t>由蚕丝与其他纤维混合纺制的纱线制成的各种织物。</w:t>
      </w:r>
    </w:p>
    <w:p>
      <w:pPr>
        <w:spacing w:line="480" w:lineRule="auto"/>
        <w:ind w:firstLine="420" w:firstLineChars="200"/>
        <w:jc w:val="left"/>
        <w:rPr>
          <w:rFonts w:eastAsiaTheme="minorEastAsia"/>
          <w:bCs/>
        </w:rPr>
      </w:pPr>
      <w:r>
        <w:rPr>
          <w:rFonts w:eastAsiaTheme="minorEastAsia"/>
          <w:bCs/>
        </w:rPr>
        <w:t>9、</w:t>
      </w:r>
      <w:r>
        <w:rPr>
          <w:rFonts w:ascii="黑体" w:hAnsi="黑体" w:eastAsia="黑体"/>
          <w:bCs/>
        </w:rPr>
        <w:t>真丝针织物</w:t>
      </w:r>
      <w:r>
        <w:rPr>
          <w:rFonts w:hint="eastAsia" w:ascii="黑体" w:hAnsi="黑体" w:eastAsia="黑体"/>
          <w:bCs/>
        </w:rPr>
        <w:t>（产品2表）</w:t>
      </w:r>
      <w:r>
        <w:rPr>
          <w:rFonts w:ascii="黑体" w:hAnsi="黑体" w:eastAsia="黑体"/>
          <w:bCs/>
        </w:rPr>
        <w:t>：</w:t>
      </w:r>
      <w:r>
        <w:rPr>
          <w:rFonts w:eastAsiaTheme="minorEastAsia"/>
          <w:bCs/>
        </w:rPr>
        <w:t>以蚕丝为原料经针织设备加工制成的织物。</w:t>
      </w:r>
    </w:p>
    <w:p>
      <w:pPr>
        <w:spacing w:line="480" w:lineRule="auto"/>
        <w:ind w:firstLine="420" w:firstLineChars="200"/>
        <w:jc w:val="left"/>
        <w:rPr>
          <w:rFonts w:eastAsiaTheme="minorEastAsia"/>
          <w:bCs/>
        </w:rPr>
      </w:pPr>
      <w:r>
        <w:rPr>
          <w:rFonts w:eastAsiaTheme="minorEastAsia"/>
          <w:bCs/>
        </w:rPr>
        <w:t>10、</w:t>
      </w:r>
      <w:r>
        <w:rPr>
          <w:rFonts w:ascii="黑体" w:hAnsi="黑体" w:eastAsia="黑体"/>
          <w:bCs/>
        </w:rPr>
        <w:t>真丝针织服装</w:t>
      </w:r>
      <w:r>
        <w:rPr>
          <w:rFonts w:hint="eastAsia" w:ascii="黑体" w:hAnsi="黑体" w:eastAsia="黑体"/>
          <w:bCs/>
        </w:rPr>
        <w:t>（产品2表）</w:t>
      </w:r>
      <w:r>
        <w:rPr>
          <w:rFonts w:ascii="黑体" w:hAnsi="黑体" w:eastAsia="黑体"/>
          <w:bCs/>
        </w:rPr>
        <w:t>：</w:t>
      </w:r>
      <w:r>
        <w:rPr>
          <w:rFonts w:eastAsiaTheme="minorEastAsia"/>
          <w:bCs/>
        </w:rPr>
        <w:t>以真丝为原料的各种针织服装。</w:t>
      </w:r>
    </w:p>
    <w:p>
      <w:pPr>
        <w:spacing w:line="480" w:lineRule="auto"/>
        <w:ind w:firstLine="420" w:firstLineChars="200"/>
        <w:jc w:val="left"/>
        <w:rPr>
          <w:rFonts w:eastAsiaTheme="minorEastAsia"/>
          <w:bCs/>
        </w:rPr>
      </w:pPr>
      <w:r>
        <w:rPr>
          <w:rFonts w:eastAsiaTheme="minorEastAsia"/>
          <w:bCs/>
        </w:rPr>
        <w:t>11、</w:t>
      </w:r>
      <w:r>
        <w:rPr>
          <w:rFonts w:ascii="黑体" w:hAnsi="黑体" w:eastAsia="黑体"/>
          <w:bCs/>
        </w:rPr>
        <w:t>真丝男外衣</w:t>
      </w:r>
      <w:r>
        <w:rPr>
          <w:rFonts w:hint="eastAsia" w:ascii="黑体" w:hAnsi="黑体" w:eastAsia="黑体"/>
          <w:bCs/>
        </w:rPr>
        <w:t>（产品2表）</w:t>
      </w:r>
      <w:r>
        <w:rPr>
          <w:rFonts w:ascii="黑体" w:hAnsi="黑体" w:eastAsia="黑体"/>
          <w:bCs/>
        </w:rPr>
        <w:t>：</w:t>
      </w:r>
      <w:r>
        <w:rPr>
          <w:rFonts w:eastAsiaTheme="minorEastAsia"/>
          <w:bCs/>
        </w:rPr>
        <w:t>由丝绸面料加工而成的男式服装，包括男式西服、男式夹克、男式礼服、男式便服套装、衬衫等。</w:t>
      </w:r>
    </w:p>
    <w:p>
      <w:pPr>
        <w:spacing w:line="480" w:lineRule="auto"/>
        <w:ind w:firstLine="420" w:firstLineChars="200"/>
        <w:jc w:val="left"/>
        <w:rPr>
          <w:rFonts w:eastAsiaTheme="minorEastAsia"/>
          <w:bCs/>
        </w:rPr>
      </w:pPr>
      <w:r>
        <w:rPr>
          <w:rFonts w:eastAsiaTheme="minorEastAsia"/>
          <w:bCs/>
        </w:rPr>
        <w:t>12、</w:t>
      </w:r>
      <w:r>
        <w:rPr>
          <w:rFonts w:ascii="黑体" w:hAnsi="黑体" w:eastAsia="黑体"/>
          <w:bCs/>
        </w:rPr>
        <w:t>真丝女外衣</w:t>
      </w:r>
      <w:r>
        <w:rPr>
          <w:rFonts w:hint="eastAsia" w:ascii="黑体" w:hAnsi="黑体" w:eastAsia="黑体"/>
          <w:bCs/>
        </w:rPr>
        <w:t>（产品2表）</w:t>
      </w:r>
      <w:r>
        <w:rPr>
          <w:rFonts w:ascii="黑体" w:hAnsi="黑体" w:eastAsia="黑体"/>
          <w:bCs/>
        </w:rPr>
        <w:t>：</w:t>
      </w:r>
      <w:r>
        <w:rPr>
          <w:rFonts w:eastAsiaTheme="minorEastAsia"/>
          <w:bCs/>
        </w:rPr>
        <w:t>由丝绸面料加工而成的女式服装，包括女式西服、女式夹克、女式礼服、女式便服套装、连衣裙、裙子等。</w:t>
      </w:r>
    </w:p>
    <w:p>
      <w:pPr>
        <w:spacing w:line="480" w:lineRule="auto"/>
        <w:ind w:firstLine="420" w:firstLineChars="200"/>
        <w:jc w:val="left"/>
        <w:rPr>
          <w:rFonts w:eastAsiaTheme="minorEastAsia"/>
          <w:bCs/>
        </w:rPr>
      </w:pPr>
      <w:r>
        <w:rPr>
          <w:rFonts w:eastAsiaTheme="minorEastAsia"/>
          <w:bCs/>
        </w:rPr>
        <w:t>13、</w:t>
      </w:r>
      <w:r>
        <w:rPr>
          <w:rFonts w:ascii="黑体" w:hAnsi="黑体" w:eastAsia="黑体"/>
          <w:bCs/>
        </w:rPr>
        <w:t>真丝男内衣</w:t>
      </w:r>
      <w:r>
        <w:rPr>
          <w:rFonts w:hint="eastAsia" w:ascii="黑体" w:hAnsi="黑体" w:eastAsia="黑体"/>
          <w:bCs/>
        </w:rPr>
        <w:t>（产品2表）</w:t>
      </w:r>
      <w:r>
        <w:rPr>
          <w:rFonts w:ascii="黑体" w:hAnsi="黑体" w:eastAsia="黑体"/>
          <w:bCs/>
        </w:rPr>
        <w:t>：</w:t>
      </w:r>
      <w:r>
        <w:rPr>
          <w:rFonts w:eastAsiaTheme="minorEastAsia"/>
          <w:bCs/>
        </w:rPr>
        <w:t>由丝绸面料加工而成的男式内衣，包括睡衣，睡袍、浴衣、内裤、背心等。</w:t>
      </w:r>
    </w:p>
    <w:p>
      <w:pPr>
        <w:spacing w:line="480" w:lineRule="auto"/>
        <w:ind w:firstLine="420" w:firstLineChars="200"/>
        <w:jc w:val="left"/>
        <w:rPr>
          <w:rFonts w:eastAsiaTheme="minorEastAsia"/>
          <w:bCs/>
        </w:rPr>
      </w:pPr>
      <w:r>
        <w:rPr>
          <w:rFonts w:eastAsiaTheme="minorEastAsia"/>
          <w:bCs/>
        </w:rPr>
        <w:t>14、</w:t>
      </w:r>
      <w:r>
        <w:rPr>
          <w:rFonts w:ascii="黑体" w:hAnsi="黑体" w:eastAsia="黑体"/>
          <w:bCs/>
        </w:rPr>
        <w:t>真丝女内衣</w:t>
      </w:r>
      <w:r>
        <w:rPr>
          <w:rFonts w:hint="eastAsia" w:ascii="黑体" w:hAnsi="黑体" w:eastAsia="黑体"/>
          <w:bCs/>
        </w:rPr>
        <w:t>（产品2表）</w:t>
      </w:r>
      <w:r>
        <w:rPr>
          <w:rFonts w:ascii="黑体" w:hAnsi="黑体" w:eastAsia="黑体"/>
          <w:bCs/>
        </w:rPr>
        <w:t>：</w:t>
      </w:r>
      <w:r>
        <w:rPr>
          <w:rFonts w:eastAsiaTheme="minorEastAsia"/>
          <w:bCs/>
        </w:rPr>
        <w:t>由丝绸面料加工而成的女式内衣，包括睡衣，睡袍、浴衣、内裤、胸罩等。</w:t>
      </w:r>
    </w:p>
    <w:p>
      <w:pPr>
        <w:spacing w:line="480" w:lineRule="auto"/>
        <w:ind w:firstLine="420" w:firstLineChars="200"/>
        <w:jc w:val="left"/>
        <w:rPr>
          <w:rFonts w:eastAsiaTheme="minorEastAsia"/>
          <w:bCs/>
        </w:rPr>
      </w:pPr>
      <w:r>
        <w:rPr>
          <w:rFonts w:eastAsiaTheme="minorEastAsia"/>
          <w:bCs/>
        </w:rPr>
        <w:t>15、</w:t>
      </w:r>
      <w:r>
        <w:rPr>
          <w:rFonts w:ascii="黑体" w:hAnsi="黑体" w:eastAsia="黑体"/>
          <w:bCs/>
        </w:rPr>
        <w:t>丝巾</w:t>
      </w:r>
      <w:r>
        <w:rPr>
          <w:rFonts w:hint="eastAsia" w:ascii="黑体" w:hAnsi="黑体" w:eastAsia="黑体"/>
          <w:bCs/>
        </w:rPr>
        <w:t>（产品2表）</w:t>
      </w:r>
      <w:r>
        <w:rPr>
          <w:rFonts w:ascii="黑体" w:hAnsi="黑体" w:eastAsia="黑体"/>
          <w:bCs/>
        </w:rPr>
        <w:t>：</w:t>
      </w:r>
      <w:r>
        <w:rPr>
          <w:rFonts w:eastAsiaTheme="minorEastAsia"/>
          <w:bCs/>
        </w:rPr>
        <w:t>用丝绸做的头巾或围巾。</w:t>
      </w:r>
    </w:p>
    <w:p>
      <w:pPr>
        <w:spacing w:line="480" w:lineRule="auto"/>
        <w:ind w:firstLine="420" w:firstLineChars="200"/>
        <w:jc w:val="left"/>
        <w:rPr>
          <w:rFonts w:eastAsiaTheme="minorEastAsia"/>
          <w:bCs/>
        </w:rPr>
      </w:pPr>
      <w:r>
        <w:rPr>
          <w:rFonts w:eastAsiaTheme="minorEastAsia"/>
          <w:bCs/>
        </w:rPr>
        <w:t>16、</w:t>
      </w:r>
      <w:r>
        <w:rPr>
          <w:rFonts w:ascii="黑体" w:hAnsi="黑体" w:eastAsia="黑体"/>
          <w:bCs/>
        </w:rPr>
        <w:t>领带</w:t>
      </w:r>
      <w:r>
        <w:rPr>
          <w:rFonts w:hint="eastAsia" w:ascii="黑体" w:hAnsi="黑体" w:eastAsia="黑体"/>
          <w:bCs/>
        </w:rPr>
        <w:t>（产品2表）</w:t>
      </w:r>
      <w:r>
        <w:rPr>
          <w:rFonts w:ascii="黑体" w:hAnsi="黑体" w:eastAsia="黑体"/>
          <w:bCs/>
        </w:rPr>
        <w:t>：</w:t>
      </w:r>
      <w:r>
        <w:rPr>
          <w:rFonts w:eastAsiaTheme="minorEastAsia"/>
          <w:bCs/>
        </w:rPr>
        <w:t>以丝绸为原料制成的各种领带。</w:t>
      </w:r>
    </w:p>
    <w:p>
      <w:pPr>
        <w:spacing w:line="480" w:lineRule="auto"/>
        <w:ind w:firstLine="420" w:firstLineChars="200"/>
        <w:jc w:val="left"/>
        <w:rPr>
          <w:rFonts w:eastAsiaTheme="minorEastAsia"/>
          <w:bCs/>
        </w:rPr>
      </w:pPr>
      <w:r>
        <w:rPr>
          <w:rFonts w:eastAsiaTheme="minorEastAsia"/>
          <w:bCs/>
        </w:rPr>
        <w:t>17、</w:t>
      </w:r>
      <w:r>
        <w:rPr>
          <w:rFonts w:ascii="黑体" w:hAnsi="黑体" w:eastAsia="黑体"/>
          <w:bCs/>
        </w:rPr>
        <w:t>地毯</w:t>
      </w:r>
      <w:r>
        <w:rPr>
          <w:rFonts w:hint="eastAsia" w:ascii="黑体" w:hAnsi="黑体" w:eastAsia="黑体"/>
          <w:bCs/>
        </w:rPr>
        <w:t>（产品2表）</w:t>
      </w:r>
      <w:r>
        <w:rPr>
          <w:rFonts w:ascii="黑体" w:hAnsi="黑体" w:eastAsia="黑体"/>
          <w:bCs/>
        </w:rPr>
        <w:t>：</w:t>
      </w:r>
      <w:r>
        <w:rPr>
          <w:rFonts w:eastAsiaTheme="minorEastAsia"/>
          <w:bCs/>
        </w:rPr>
        <w:t>以蚕丝为原料加工而成的地毯。</w:t>
      </w:r>
    </w:p>
    <w:p>
      <w:pPr>
        <w:spacing w:line="480" w:lineRule="auto"/>
        <w:ind w:firstLine="420" w:firstLineChars="200"/>
        <w:jc w:val="left"/>
        <w:rPr>
          <w:rFonts w:eastAsiaTheme="minorEastAsia"/>
          <w:bCs/>
        </w:rPr>
      </w:pPr>
      <w:r>
        <w:rPr>
          <w:rFonts w:eastAsiaTheme="minorEastAsia"/>
          <w:bCs/>
        </w:rPr>
        <w:t>18、</w:t>
      </w:r>
      <w:r>
        <w:rPr>
          <w:rFonts w:ascii="黑体" w:hAnsi="黑体" w:eastAsia="黑体"/>
          <w:bCs/>
        </w:rPr>
        <w:t>蚕丝被</w:t>
      </w:r>
      <w:r>
        <w:rPr>
          <w:rFonts w:hint="eastAsia" w:ascii="黑体" w:hAnsi="黑体" w:eastAsia="黑体"/>
          <w:bCs/>
        </w:rPr>
        <w:t>（产品2表）</w:t>
      </w:r>
      <w:r>
        <w:rPr>
          <w:rFonts w:ascii="黑体" w:hAnsi="黑体" w:eastAsia="黑体"/>
          <w:bCs/>
        </w:rPr>
        <w:t>：</w:t>
      </w:r>
      <w:r>
        <w:rPr>
          <w:rFonts w:eastAsiaTheme="minorEastAsia"/>
          <w:bCs/>
        </w:rPr>
        <w:t>以蚕丝为被胎原料而制成的被子。</w:t>
      </w:r>
    </w:p>
    <w:p>
      <w:pPr>
        <w:spacing w:line="480" w:lineRule="auto"/>
        <w:ind w:firstLine="422" w:firstLineChars="200"/>
        <w:jc w:val="left"/>
        <w:rPr>
          <w:rFonts w:eastAsiaTheme="minorEastAsia"/>
          <w:b/>
          <w:bCs/>
        </w:rPr>
      </w:pPr>
      <w:r>
        <w:rPr>
          <w:rFonts w:eastAsiaTheme="minorEastAsia"/>
          <w:b/>
          <w:bCs/>
        </w:rPr>
        <w:t>（四）丝绸营销商品类别指标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月度销售总计</w:t>
      </w:r>
      <w:r>
        <w:rPr>
          <w:rFonts w:hint="eastAsia" w:ascii="黑体" w:hAnsi="黑体" w:eastAsia="黑体"/>
          <w:bCs/>
        </w:rPr>
        <w:t>（产品4表）</w:t>
      </w:r>
      <w:r>
        <w:rPr>
          <w:rFonts w:ascii="黑体" w:hAnsi="黑体" w:eastAsia="黑体"/>
          <w:bCs/>
        </w:rPr>
        <w:t>：</w:t>
      </w:r>
      <w:r>
        <w:rPr>
          <w:rFonts w:eastAsiaTheme="minorEastAsia"/>
          <w:bCs/>
        </w:rPr>
        <w:t>包括面料、家纺、服装、服饰和其他，企业当月全部销售额总计。</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真丝绸缎总计</w:t>
      </w:r>
      <w:r>
        <w:rPr>
          <w:rFonts w:hint="eastAsia" w:ascii="黑体" w:hAnsi="黑体" w:eastAsia="黑体"/>
          <w:bCs/>
        </w:rPr>
        <w:t>（产品4表）</w:t>
      </w:r>
      <w:r>
        <w:rPr>
          <w:rFonts w:ascii="黑体" w:hAnsi="黑体" w:eastAsia="黑体"/>
          <w:bCs/>
        </w:rPr>
        <w:t>：</w:t>
      </w:r>
      <w:r>
        <w:rPr>
          <w:rFonts w:eastAsiaTheme="minorEastAsia"/>
          <w:bCs/>
        </w:rPr>
        <w:t>包括印染绸和其他机织物的总和。</w:t>
      </w:r>
    </w:p>
    <w:p>
      <w:pPr>
        <w:spacing w:line="480" w:lineRule="auto"/>
        <w:ind w:firstLine="420" w:firstLineChars="200"/>
        <w:jc w:val="left"/>
        <w:rPr>
          <w:rFonts w:eastAsiaTheme="minorEastAsia"/>
          <w:bCs/>
        </w:rPr>
      </w:pPr>
      <w:r>
        <w:rPr>
          <w:rFonts w:hint="eastAsia" w:eastAsiaTheme="minorEastAsia"/>
          <w:bCs/>
        </w:rPr>
        <w:t>3、</w:t>
      </w:r>
      <w:r>
        <w:rPr>
          <w:rFonts w:ascii="黑体" w:hAnsi="黑体" w:eastAsia="黑体"/>
          <w:bCs/>
        </w:rPr>
        <w:t>在线销售</w:t>
      </w:r>
      <w:r>
        <w:rPr>
          <w:rFonts w:hint="eastAsia" w:ascii="黑体" w:hAnsi="黑体" w:eastAsia="黑体"/>
          <w:bCs/>
        </w:rPr>
        <w:t>（产品4表）</w:t>
      </w:r>
      <w:r>
        <w:rPr>
          <w:sz w:val="18"/>
          <w:szCs w:val="18"/>
        </w:rPr>
        <w:t>：</w:t>
      </w:r>
      <w:r>
        <w:rPr>
          <w:rFonts w:hint="eastAsia" w:eastAsiaTheme="minorEastAsia"/>
          <w:bCs/>
        </w:rPr>
        <w:t>建立在专业服务商提供的电子商务平台之上的新型销售渠道，包括网上商店、网上拍卖等</w:t>
      </w:r>
      <w:r>
        <w:rPr>
          <w:rFonts w:eastAsiaTheme="minorEastAsia"/>
          <w:bCs/>
        </w:rPr>
        <w:t>。</w:t>
      </w:r>
    </w:p>
    <w:p>
      <w:pPr>
        <w:spacing w:line="480" w:lineRule="auto"/>
        <w:ind w:firstLine="420" w:firstLineChars="200"/>
        <w:jc w:val="left"/>
        <w:rPr>
          <w:rFonts w:eastAsiaTheme="minorEastAsia"/>
          <w:bCs/>
        </w:rPr>
      </w:pPr>
      <w:r>
        <w:rPr>
          <w:rFonts w:hint="eastAsia" w:eastAsiaTheme="minorEastAsia"/>
          <w:bCs/>
        </w:rPr>
        <w:t>4</w:t>
      </w:r>
      <w:r>
        <w:rPr>
          <w:rFonts w:eastAsiaTheme="minorEastAsia"/>
          <w:bCs/>
        </w:rPr>
        <w:t>、</w:t>
      </w:r>
      <w:r>
        <w:rPr>
          <w:rFonts w:ascii="黑体" w:hAnsi="黑体" w:eastAsia="黑体"/>
          <w:bCs/>
        </w:rPr>
        <w:t>门市</w:t>
      </w:r>
      <w:r>
        <w:rPr>
          <w:rFonts w:hint="eastAsia" w:ascii="黑体" w:hAnsi="黑体" w:eastAsia="黑体"/>
          <w:bCs/>
        </w:rPr>
        <w:t>销售（产品4表）</w:t>
      </w:r>
      <w:r>
        <w:rPr>
          <w:rFonts w:ascii="黑体" w:hAnsi="黑体" w:eastAsia="黑体"/>
          <w:bCs/>
        </w:rPr>
        <w:t>：</w:t>
      </w:r>
      <w:r>
        <w:rPr>
          <w:rFonts w:eastAsiaTheme="minorEastAsia"/>
          <w:bCs/>
        </w:rPr>
        <w:t>在门店</w:t>
      </w:r>
      <w:r>
        <w:rPr>
          <w:rFonts w:hint="eastAsia" w:eastAsiaTheme="minorEastAsia"/>
          <w:bCs/>
        </w:rPr>
        <w:t>进行</w:t>
      </w:r>
      <w:r>
        <w:rPr>
          <w:rFonts w:eastAsiaTheme="minorEastAsia"/>
          <w:bCs/>
        </w:rPr>
        <w:t>交易的面料数量及销售额。</w:t>
      </w:r>
    </w:p>
    <w:p>
      <w:pPr>
        <w:spacing w:line="480" w:lineRule="auto"/>
        <w:ind w:firstLine="420" w:firstLineChars="200"/>
        <w:jc w:val="left"/>
        <w:rPr>
          <w:rFonts w:eastAsiaTheme="minorEastAsia"/>
          <w:bCs/>
        </w:rPr>
      </w:pPr>
      <w:r>
        <w:rPr>
          <w:rFonts w:hint="eastAsia" w:eastAsiaTheme="minorEastAsia"/>
          <w:bCs/>
        </w:rPr>
        <w:t>5</w:t>
      </w:r>
      <w:r>
        <w:rPr>
          <w:rFonts w:eastAsiaTheme="minorEastAsia"/>
          <w:bCs/>
        </w:rPr>
        <w:t>、</w:t>
      </w:r>
      <w:r>
        <w:rPr>
          <w:rFonts w:ascii="黑体" w:hAnsi="黑体" w:eastAsia="黑体"/>
          <w:bCs/>
        </w:rPr>
        <w:t>家纺总计</w:t>
      </w:r>
      <w:r>
        <w:rPr>
          <w:rFonts w:hint="eastAsia" w:ascii="黑体" w:hAnsi="黑体" w:eastAsia="黑体"/>
          <w:bCs/>
        </w:rPr>
        <w:t>（产品4表）</w:t>
      </w:r>
      <w:r>
        <w:rPr>
          <w:rFonts w:ascii="黑体" w:hAnsi="黑体" w:eastAsia="黑体"/>
          <w:bCs/>
        </w:rPr>
        <w:t>：</w:t>
      </w:r>
      <w:r>
        <w:rPr>
          <w:rFonts w:eastAsiaTheme="minorEastAsia"/>
          <w:bCs/>
        </w:rPr>
        <w:t>包括睡衣、内衣、浴袍、床垫、枕罩、枕头、被罩、床单、床罩、蚕丝被（蚕丝含量＞50%）、凉席、丝毯等含真丝成分商品。表中列出内衣、蚕丝被等仅为家纺商品。</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w:t>
      </w:r>
      <w:r>
        <w:rPr>
          <w:rFonts w:ascii="黑体" w:hAnsi="黑体" w:eastAsia="黑体"/>
          <w:bCs/>
        </w:rPr>
        <w:t>服装总计</w:t>
      </w:r>
      <w:r>
        <w:rPr>
          <w:rFonts w:hint="eastAsia" w:ascii="黑体" w:hAnsi="黑体" w:eastAsia="黑体"/>
          <w:bCs/>
        </w:rPr>
        <w:t>（产品4表）</w:t>
      </w:r>
      <w:r>
        <w:rPr>
          <w:rFonts w:ascii="黑体" w:hAnsi="黑体" w:eastAsia="黑体"/>
          <w:bCs/>
        </w:rPr>
        <w:t>：</w:t>
      </w:r>
      <w:r>
        <w:rPr>
          <w:rFonts w:eastAsiaTheme="minorEastAsia"/>
          <w:bCs/>
        </w:rPr>
        <w:t>丝绸服装包括所有含真丝绸材质的服装，包括男士服装和女士服装总和。</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服饰总计</w:t>
      </w:r>
      <w:r>
        <w:rPr>
          <w:rFonts w:hint="eastAsia" w:ascii="黑体" w:hAnsi="黑体" w:eastAsia="黑体"/>
          <w:bCs/>
        </w:rPr>
        <w:t>（产品4表）</w:t>
      </w:r>
      <w:r>
        <w:rPr>
          <w:rFonts w:ascii="黑体" w:hAnsi="黑体" w:eastAsia="黑体"/>
          <w:bCs/>
        </w:rPr>
        <w:t>：</w:t>
      </w:r>
      <w:r>
        <w:rPr>
          <w:rFonts w:eastAsiaTheme="minorEastAsia"/>
          <w:bCs/>
        </w:rPr>
        <w:t>包括丝巾、围巾、领带、丝绸鞋、丝绸包等商品的总和。表中所列出仅为服饰商品。</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其他商品</w:t>
      </w:r>
      <w:r>
        <w:rPr>
          <w:rFonts w:hint="eastAsia" w:ascii="黑体" w:hAnsi="黑体" w:eastAsia="黑体"/>
          <w:bCs/>
        </w:rPr>
        <w:t>（产品4表）</w:t>
      </w:r>
      <w:r>
        <w:rPr>
          <w:rFonts w:ascii="黑体" w:hAnsi="黑体" w:eastAsia="黑体"/>
          <w:bCs/>
        </w:rPr>
        <w:t>：</w:t>
      </w:r>
      <w:r>
        <w:rPr>
          <w:rFonts w:eastAsiaTheme="minorEastAsia"/>
          <w:bCs/>
        </w:rPr>
        <w:t>上述分类中未能列出的丝绸商品，包括丝绸工艺品、挂毯、装饰品、化妆品、包装品、办公用品等含真丝成分商品。</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90"/>
      <w:jc w:val="right"/>
    </w:pPr>
  </w:p>
  <w:p>
    <w:pPr>
      <w:pStyle w:val="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774372"/>
    </w:sdtPr>
    <w:sdtContent>
      <w:p>
        <w:pPr>
          <w:pStyle w:val="10"/>
          <w:jc w:val="center"/>
        </w:pPr>
        <w:r>
          <w:fldChar w:fldCharType="begin"/>
        </w:r>
        <w:r>
          <w:instrText xml:space="preserve">PAGE   \* MERGEFORMAT</w:instrText>
        </w:r>
        <w:r>
          <w:fldChar w:fldCharType="separate"/>
        </w:r>
        <w:r>
          <w:rPr>
            <w:lang w:val="zh-CN"/>
          </w:rPr>
          <w:t>19</w:t>
        </w:r>
        <w:r>
          <w:fldChar w:fldCharType="end"/>
        </w:r>
      </w:p>
    </w:sdtContent>
  </w:sdt>
  <w:p>
    <w:pPr>
      <w:pStyle w:val="1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E2"/>
    <w:rsid w:val="00014E67"/>
    <w:rsid w:val="00026A64"/>
    <w:rsid w:val="00041827"/>
    <w:rsid w:val="000420B4"/>
    <w:rsid w:val="00042A10"/>
    <w:rsid w:val="000535BE"/>
    <w:rsid w:val="0006361C"/>
    <w:rsid w:val="00072A9E"/>
    <w:rsid w:val="00081615"/>
    <w:rsid w:val="00081F3F"/>
    <w:rsid w:val="00086F54"/>
    <w:rsid w:val="000B335E"/>
    <w:rsid w:val="000B502B"/>
    <w:rsid w:val="000C64D5"/>
    <w:rsid w:val="000D00B1"/>
    <w:rsid w:val="000F7C81"/>
    <w:rsid w:val="001030A6"/>
    <w:rsid w:val="00112282"/>
    <w:rsid w:val="0011423E"/>
    <w:rsid w:val="00121193"/>
    <w:rsid w:val="00127462"/>
    <w:rsid w:val="001327EE"/>
    <w:rsid w:val="001350BA"/>
    <w:rsid w:val="00137459"/>
    <w:rsid w:val="00152B8D"/>
    <w:rsid w:val="00157CB7"/>
    <w:rsid w:val="00157F64"/>
    <w:rsid w:val="001722AB"/>
    <w:rsid w:val="00181178"/>
    <w:rsid w:val="00194F8D"/>
    <w:rsid w:val="001A061F"/>
    <w:rsid w:val="001B1387"/>
    <w:rsid w:val="001C2E82"/>
    <w:rsid w:val="001C61AE"/>
    <w:rsid w:val="001C6D6A"/>
    <w:rsid w:val="001D1652"/>
    <w:rsid w:val="001E0355"/>
    <w:rsid w:val="001E7EA3"/>
    <w:rsid w:val="001F1A02"/>
    <w:rsid w:val="002150A6"/>
    <w:rsid w:val="00222D34"/>
    <w:rsid w:val="00233661"/>
    <w:rsid w:val="00244284"/>
    <w:rsid w:val="002503A6"/>
    <w:rsid w:val="00251C23"/>
    <w:rsid w:val="00260004"/>
    <w:rsid w:val="0029514E"/>
    <w:rsid w:val="0029698F"/>
    <w:rsid w:val="002A53E7"/>
    <w:rsid w:val="002B31FA"/>
    <w:rsid w:val="002B4900"/>
    <w:rsid w:val="002C7B88"/>
    <w:rsid w:val="002D0409"/>
    <w:rsid w:val="002D18FB"/>
    <w:rsid w:val="002E4482"/>
    <w:rsid w:val="002E7A23"/>
    <w:rsid w:val="002F1837"/>
    <w:rsid w:val="0031288F"/>
    <w:rsid w:val="0031473C"/>
    <w:rsid w:val="00325417"/>
    <w:rsid w:val="0035106B"/>
    <w:rsid w:val="00352FFB"/>
    <w:rsid w:val="0038604D"/>
    <w:rsid w:val="003A5271"/>
    <w:rsid w:val="003B62F1"/>
    <w:rsid w:val="003D0454"/>
    <w:rsid w:val="003F2BB1"/>
    <w:rsid w:val="004015E3"/>
    <w:rsid w:val="004075B6"/>
    <w:rsid w:val="00416147"/>
    <w:rsid w:val="0041629A"/>
    <w:rsid w:val="00420807"/>
    <w:rsid w:val="0042665C"/>
    <w:rsid w:val="00442946"/>
    <w:rsid w:val="004536A0"/>
    <w:rsid w:val="00471C00"/>
    <w:rsid w:val="00471DF4"/>
    <w:rsid w:val="00474598"/>
    <w:rsid w:val="00486928"/>
    <w:rsid w:val="00486F18"/>
    <w:rsid w:val="00486F2C"/>
    <w:rsid w:val="004A5F2A"/>
    <w:rsid w:val="004B1CFA"/>
    <w:rsid w:val="004E1C0F"/>
    <w:rsid w:val="004E37C3"/>
    <w:rsid w:val="004E628E"/>
    <w:rsid w:val="004F016A"/>
    <w:rsid w:val="00500B93"/>
    <w:rsid w:val="00505BEA"/>
    <w:rsid w:val="0050780C"/>
    <w:rsid w:val="00522D1B"/>
    <w:rsid w:val="005302CC"/>
    <w:rsid w:val="005463F2"/>
    <w:rsid w:val="00546E95"/>
    <w:rsid w:val="00564C76"/>
    <w:rsid w:val="00566381"/>
    <w:rsid w:val="00567F38"/>
    <w:rsid w:val="00576D04"/>
    <w:rsid w:val="00585247"/>
    <w:rsid w:val="005918F6"/>
    <w:rsid w:val="00595A08"/>
    <w:rsid w:val="005A05BA"/>
    <w:rsid w:val="005A0B51"/>
    <w:rsid w:val="005A7320"/>
    <w:rsid w:val="005C2DF6"/>
    <w:rsid w:val="005C5DFD"/>
    <w:rsid w:val="005E2DF4"/>
    <w:rsid w:val="00601DC4"/>
    <w:rsid w:val="00602C31"/>
    <w:rsid w:val="00606A1C"/>
    <w:rsid w:val="006415BC"/>
    <w:rsid w:val="00641C99"/>
    <w:rsid w:val="00645894"/>
    <w:rsid w:val="00660874"/>
    <w:rsid w:val="00663CEA"/>
    <w:rsid w:val="00671C4D"/>
    <w:rsid w:val="00671F63"/>
    <w:rsid w:val="00676DF2"/>
    <w:rsid w:val="0067715D"/>
    <w:rsid w:val="00683596"/>
    <w:rsid w:val="00683D54"/>
    <w:rsid w:val="006911A8"/>
    <w:rsid w:val="00696630"/>
    <w:rsid w:val="00697040"/>
    <w:rsid w:val="006A0BB0"/>
    <w:rsid w:val="006A2C4B"/>
    <w:rsid w:val="006B06D7"/>
    <w:rsid w:val="006B2F8A"/>
    <w:rsid w:val="006C34D0"/>
    <w:rsid w:val="006D6397"/>
    <w:rsid w:val="006E5186"/>
    <w:rsid w:val="006F2C45"/>
    <w:rsid w:val="007008F0"/>
    <w:rsid w:val="00725B02"/>
    <w:rsid w:val="0075456A"/>
    <w:rsid w:val="007550BC"/>
    <w:rsid w:val="007A1E75"/>
    <w:rsid w:val="007A4B5C"/>
    <w:rsid w:val="007A64FF"/>
    <w:rsid w:val="007B45A7"/>
    <w:rsid w:val="007C44DE"/>
    <w:rsid w:val="007E1BC5"/>
    <w:rsid w:val="007E439C"/>
    <w:rsid w:val="007E74D1"/>
    <w:rsid w:val="007F04E4"/>
    <w:rsid w:val="007F24A6"/>
    <w:rsid w:val="007F3A4B"/>
    <w:rsid w:val="007F768A"/>
    <w:rsid w:val="00802129"/>
    <w:rsid w:val="00816104"/>
    <w:rsid w:val="00820738"/>
    <w:rsid w:val="0082283E"/>
    <w:rsid w:val="00843948"/>
    <w:rsid w:val="00852B80"/>
    <w:rsid w:val="0086464C"/>
    <w:rsid w:val="0088006E"/>
    <w:rsid w:val="008A2F11"/>
    <w:rsid w:val="008A3734"/>
    <w:rsid w:val="008A554F"/>
    <w:rsid w:val="008D43CE"/>
    <w:rsid w:val="008D7163"/>
    <w:rsid w:val="008D75D3"/>
    <w:rsid w:val="008F13B6"/>
    <w:rsid w:val="0091308A"/>
    <w:rsid w:val="00922C34"/>
    <w:rsid w:val="00941964"/>
    <w:rsid w:val="0094207F"/>
    <w:rsid w:val="009627C6"/>
    <w:rsid w:val="00990504"/>
    <w:rsid w:val="0099234A"/>
    <w:rsid w:val="009A42B9"/>
    <w:rsid w:val="009A636C"/>
    <w:rsid w:val="009A7EE9"/>
    <w:rsid w:val="009D36ED"/>
    <w:rsid w:val="009F4F77"/>
    <w:rsid w:val="00A0111E"/>
    <w:rsid w:val="00A035FF"/>
    <w:rsid w:val="00A06C17"/>
    <w:rsid w:val="00A16B40"/>
    <w:rsid w:val="00A23A9C"/>
    <w:rsid w:val="00A36544"/>
    <w:rsid w:val="00A42821"/>
    <w:rsid w:val="00A433CA"/>
    <w:rsid w:val="00A4600B"/>
    <w:rsid w:val="00A73B6F"/>
    <w:rsid w:val="00A82752"/>
    <w:rsid w:val="00A84146"/>
    <w:rsid w:val="00A97E0B"/>
    <w:rsid w:val="00AB2ED5"/>
    <w:rsid w:val="00AB7E9A"/>
    <w:rsid w:val="00AC600E"/>
    <w:rsid w:val="00B0695A"/>
    <w:rsid w:val="00B11034"/>
    <w:rsid w:val="00B14AE6"/>
    <w:rsid w:val="00B15C79"/>
    <w:rsid w:val="00B23222"/>
    <w:rsid w:val="00B24BF5"/>
    <w:rsid w:val="00B41DD8"/>
    <w:rsid w:val="00B657DD"/>
    <w:rsid w:val="00B865C0"/>
    <w:rsid w:val="00B87B58"/>
    <w:rsid w:val="00B95C36"/>
    <w:rsid w:val="00BA346D"/>
    <w:rsid w:val="00BA532E"/>
    <w:rsid w:val="00BB3240"/>
    <w:rsid w:val="00BC7165"/>
    <w:rsid w:val="00BD6B84"/>
    <w:rsid w:val="00BE5C52"/>
    <w:rsid w:val="00BF63D8"/>
    <w:rsid w:val="00BF6E18"/>
    <w:rsid w:val="00BF7481"/>
    <w:rsid w:val="00C02B5B"/>
    <w:rsid w:val="00C060CA"/>
    <w:rsid w:val="00C12D0F"/>
    <w:rsid w:val="00C24F58"/>
    <w:rsid w:val="00C35B5B"/>
    <w:rsid w:val="00C3601E"/>
    <w:rsid w:val="00C40768"/>
    <w:rsid w:val="00C43A57"/>
    <w:rsid w:val="00C4722F"/>
    <w:rsid w:val="00C47FC4"/>
    <w:rsid w:val="00C55D6D"/>
    <w:rsid w:val="00C65808"/>
    <w:rsid w:val="00C667CB"/>
    <w:rsid w:val="00C66B72"/>
    <w:rsid w:val="00C744CF"/>
    <w:rsid w:val="00C80AE2"/>
    <w:rsid w:val="00C87AED"/>
    <w:rsid w:val="00C9210D"/>
    <w:rsid w:val="00CA5D27"/>
    <w:rsid w:val="00CA79DB"/>
    <w:rsid w:val="00CB23F3"/>
    <w:rsid w:val="00CB4236"/>
    <w:rsid w:val="00CD4EC0"/>
    <w:rsid w:val="00CE52B9"/>
    <w:rsid w:val="00CE65ED"/>
    <w:rsid w:val="00CE7755"/>
    <w:rsid w:val="00CF22FA"/>
    <w:rsid w:val="00D05397"/>
    <w:rsid w:val="00D21363"/>
    <w:rsid w:val="00D32EAC"/>
    <w:rsid w:val="00D41434"/>
    <w:rsid w:val="00D47B08"/>
    <w:rsid w:val="00D70D59"/>
    <w:rsid w:val="00D74D0F"/>
    <w:rsid w:val="00D81F88"/>
    <w:rsid w:val="00D8229C"/>
    <w:rsid w:val="00DA38D6"/>
    <w:rsid w:val="00DA42C9"/>
    <w:rsid w:val="00DC0C73"/>
    <w:rsid w:val="00DC0FD3"/>
    <w:rsid w:val="00DC10DF"/>
    <w:rsid w:val="00DC3386"/>
    <w:rsid w:val="00DC4823"/>
    <w:rsid w:val="00DC7D3B"/>
    <w:rsid w:val="00DD75B3"/>
    <w:rsid w:val="00DE2266"/>
    <w:rsid w:val="00DE66F5"/>
    <w:rsid w:val="00DF381E"/>
    <w:rsid w:val="00DF7E65"/>
    <w:rsid w:val="00E06315"/>
    <w:rsid w:val="00E128B6"/>
    <w:rsid w:val="00E131A0"/>
    <w:rsid w:val="00E25CB8"/>
    <w:rsid w:val="00E340E8"/>
    <w:rsid w:val="00E3628B"/>
    <w:rsid w:val="00E564F3"/>
    <w:rsid w:val="00E612B3"/>
    <w:rsid w:val="00E63BF0"/>
    <w:rsid w:val="00E66735"/>
    <w:rsid w:val="00E67461"/>
    <w:rsid w:val="00E77EEB"/>
    <w:rsid w:val="00E818B0"/>
    <w:rsid w:val="00E86560"/>
    <w:rsid w:val="00EA30C4"/>
    <w:rsid w:val="00EB3695"/>
    <w:rsid w:val="00EC0EF7"/>
    <w:rsid w:val="00EC1FB9"/>
    <w:rsid w:val="00EC212A"/>
    <w:rsid w:val="00ED2E40"/>
    <w:rsid w:val="00EE2A40"/>
    <w:rsid w:val="00EE4A7C"/>
    <w:rsid w:val="00EF41F6"/>
    <w:rsid w:val="00EF6BC0"/>
    <w:rsid w:val="00F114CD"/>
    <w:rsid w:val="00F17E33"/>
    <w:rsid w:val="00F22DE2"/>
    <w:rsid w:val="00F3735F"/>
    <w:rsid w:val="00F3743F"/>
    <w:rsid w:val="00F37CC4"/>
    <w:rsid w:val="00F45306"/>
    <w:rsid w:val="00F50FF5"/>
    <w:rsid w:val="00F51680"/>
    <w:rsid w:val="00F63807"/>
    <w:rsid w:val="00F7232F"/>
    <w:rsid w:val="00F7413B"/>
    <w:rsid w:val="00F74CC2"/>
    <w:rsid w:val="00F77E0B"/>
    <w:rsid w:val="00F80799"/>
    <w:rsid w:val="00F87F94"/>
    <w:rsid w:val="00FA171F"/>
    <w:rsid w:val="00FA6A44"/>
    <w:rsid w:val="00FC4B55"/>
    <w:rsid w:val="00FD60D0"/>
    <w:rsid w:val="00FE47B4"/>
    <w:rsid w:val="00FF0F92"/>
    <w:rsid w:val="02FA2DA2"/>
    <w:rsid w:val="077E152E"/>
    <w:rsid w:val="089528CE"/>
    <w:rsid w:val="0E76701E"/>
    <w:rsid w:val="112D4D8C"/>
    <w:rsid w:val="1ADB3380"/>
    <w:rsid w:val="1BBE6602"/>
    <w:rsid w:val="1CA135C8"/>
    <w:rsid w:val="1F8F7418"/>
    <w:rsid w:val="246D03E7"/>
    <w:rsid w:val="2BAE3CAD"/>
    <w:rsid w:val="2C111FFE"/>
    <w:rsid w:val="3564385A"/>
    <w:rsid w:val="3AB43696"/>
    <w:rsid w:val="3BED7DF9"/>
    <w:rsid w:val="4B847ECC"/>
    <w:rsid w:val="4EA9278E"/>
    <w:rsid w:val="50843853"/>
    <w:rsid w:val="54B2590E"/>
    <w:rsid w:val="58A84A4A"/>
    <w:rsid w:val="59F51B4B"/>
    <w:rsid w:val="5AAA32E6"/>
    <w:rsid w:val="638D69EF"/>
    <w:rsid w:val="6428009E"/>
    <w:rsid w:val="684E2814"/>
    <w:rsid w:val="72A65F7D"/>
    <w:rsid w:val="75162E93"/>
    <w:rsid w:val="7D713C0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unhideWhenUsed/>
    <w:qFormat/>
    <w:uiPriority w:val="99"/>
    <w:rPr>
      <w:rFonts w:ascii="Times New Roman" w:hAnsi="Times New Roman" w:eastAsia="宋体" w:cs="Times New Roman"/>
      <w:b/>
      <w:bCs/>
      <w:szCs w:val="21"/>
    </w:rPr>
  </w:style>
  <w:style w:type="paragraph" w:styleId="5">
    <w:name w:val="annotation text"/>
    <w:basedOn w:val="1"/>
    <w:link w:val="25"/>
    <w:qFormat/>
    <w:uiPriority w:val="0"/>
    <w:pPr>
      <w:jc w:val="left"/>
    </w:pPr>
    <w:rPr>
      <w:rFonts w:asciiTheme="minorHAnsi" w:hAnsiTheme="minorHAnsi" w:eastAsiaTheme="minorEastAsia" w:cstheme="minorBidi"/>
      <w:szCs w:val="24"/>
    </w:r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7">
    <w:name w:val="Plain Text"/>
    <w:basedOn w:val="1"/>
    <w:link w:val="27"/>
    <w:qFormat/>
    <w:uiPriority w:val="0"/>
    <w:rPr>
      <w:rFonts w:ascii="宋体" w:hAnsi="Courier New"/>
      <w:szCs w:val="24"/>
    </w:rPr>
  </w:style>
  <w:style w:type="paragraph" w:styleId="8">
    <w:name w:val="Body Text Indent 2"/>
    <w:basedOn w:val="1"/>
    <w:link w:val="30"/>
    <w:qFormat/>
    <w:uiPriority w:val="99"/>
    <w:pPr>
      <w:ind w:firstLine="560" w:firstLineChars="200"/>
    </w:pPr>
    <w:rPr>
      <w:rFonts w:ascii="仿宋_GB2312" w:eastAsia="仿宋_GB2312" w:cs="仿宋_GB2312"/>
      <w:sz w:val="28"/>
      <w:szCs w:val="28"/>
    </w:rPr>
  </w:style>
  <w:style w:type="paragraph" w:styleId="9">
    <w:name w:val="Balloon Text"/>
    <w:basedOn w:val="1"/>
    <w:link w:val="28"/>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qFormat/>
    <w:uiPriority w:val="39"/>
    <w:rPr>
      <w:szCs w:val="24"/>
    </w:rPr>
  </w:style>
  <w:style w:type="paragraph" w:styleId="13">
    <w:name w:val="footnote text"/>
    <w:basedOn w:val="1"/>
    <w:link w:val="31"/>
    <w:unhideWhenUsed/>
    <w:qFormat/>
    <w:uiPriority w:val="99"/>
    <w:pPr>
      <w:snapToGrid w:val="0"/>
      <w:jc w:val="left"/>
    </w:pPr>
    <w:rPr>
      <w:sz w:val="18"/>
      <w:szCs w:val="18"/>
    </w:rPr>
  </w:style>
  <w:style w:type="paragraph" w:styleId="14">
    <w:name w:val="toc 2"/>
    <w:basedOn w:val="1"/>
    <w:next w:val="1"/>
    <w:qFormat/>
    <w:uiPriority w:val="39"/>
    <w:pPr>
      <w:ind w:left="420" w:leftChars="200"/>
    </w:pPr>
    <w:rPr>
      <w:szCs w:val="24"/>
    </w:rPr>
  </w:style>
  <w:style w:type="character" w:styleId="16">
    <w:name w:val="Hyperlink"/>
    <w:qFormat/>
    <w:uiPriority w:val="99"/>
    <w:rPr>
      <w:color w:val="0000FF"/>
      <w:u w:val="single"/>
    </w:rPr>
  </w:style>
  <w:style w:type="character" w:styleId="17">
    <w:name w:val="annotation reference"/>
    <w:qFormat/>
    <w:uiPriority w:val="0"/>
    <w:rPr>
      <w:sz w:val="21"/>
      <w:szCs w:val="21"/>
    </w:rPr>
  </w:style>
  <w:style w:type="character" w:styleId="18">
    <w:name w:val="footnote reference"/>
    <w:basedOn w:val="15"/>
    <w:unhideWhenUsed/>
    <w:qFormat/>
    <w:uiPriority w:val="99"/>
    <w:rPr>
      <w:vertAlign w:val="superscript"/>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Char"/>
    <w:basedOn w:val="15"/>
    <w:link w:val="11"/>
    <w:qFormat/>
    <w:uiPriority w:val="99"/>
    <w:rPr>
      <w:sz w:val="18"/>
      <w:szCs w:val="18"/>
    </w:rPr>
  </w:style>
  <w:style w:type="character" w:customStyle="1" w:styleId="22">
    <w:name w:val="页脚 Char"/>
    <w:basedOn w:val="15"/>
    <w:link w:val="10"/>
    <w:qFormat/>
    <w:uiPriority w:val="99"/>
    <w:rPr>
      <w:sz w:val="18"/>
      <w:szCs w:val="18"/>
    </w:rPr>
  </w:style>
  <w:style w:type="character" w:customStyle="1" w:styleId="23">
    <w:name w:val="标题 1 Char"/>
    <w:basedOn w:val="15"/>
    <w:link w:val="2"/>
    <w:qFormat/>
    <w:uiPriority w:val="0"/>
    <w:rPr>
      <w:rFonts w:ascii="Times New Roman" w:hAnsi="Times New Roman" w:eastAsia="宋体" w:cs="Times New Roman"/>
      <w:b/>
      <w:bCs/>
      <w:kern w:val="44"/>
      <w:sz w:val="44"/>
      <w:szCs w:val="44"/>
    </w:rPr>
  </w:style>
  <w:style w:type="paragraph" w:customStyle="1" w:styleId="2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5">
    <w:name w:val="批注文字 Char"/>
    <w:link w:val="5"/>
    <w:qFormat/>
    <w:uiPriority w:val="0"/>
    <w:rPr>
      <w:szCs w:val="24"/>
    </w:rPr>
  </w:style>
  <w:style w:type="character" w:customStyle="1" w:styleId="26">
    <w:name w:val="批注文字 Char1"/>
    <w:basedOn w:val="15"/>
    <w:semiHidden/>
    <w:qFormat/>
    <w:uiPriority w:val="99"/>
    <w:rPr>
      <w:rFonts w:ascii="Times New Roman" w:hAnsi="Times New Roman" w:eastAsia="宋体" w:cs="Times New Roman"/>
      <w:szCs w:val="21"/>
    </w:rPr>
  </w:style>
  <w:style w:type="character" w:customStyle="1" w:styleId="27">
    <w:name w:val="纯文本 Char"/>
    <w:basedOn w:val="15"/>
    <w:link w:val="7"/>
    <w:qFormat/>
    <w:uiPriority w:val="0"/>
    <w:rPr>
      <w:rFonts w:ascii="宋体" w:hAnsi="Courier New" w:eastAsia="宋体" w:cs="Times New Roman"/>
      <w:szCs w:val="24"/>
    </w:rPr>
  </w:style>
  <w:style w:type="character" w:customStyle="1" w:styleId="28">
    <w:name w:val="批注框文本 Char"/>
    <w:basedOn w:val="15"/>
    <w:link w:val="9"/>
    <w:semiHidden/>
    <w:qFormat/>
    <w:uiPriority w:val="99"/>
    <w:rPr>
      <w:rFonts w:ascii="Times New Roman" w:hAnsi="Times New Roman" w:eastAsia="宋体" w:cs="Times New Roman"/>
      <w:sz w:val="18"/>
      <w:szCs w:val="18"/>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正文文本缩进 2 Char"/>
    <w:basedOn w:val="15"/>
    <w:link w:val="8"/>
    <w:qFormat/>
    <w:uiPriority w:val="99"/>
    <w:rPr>
      <w:rFonts w:ascii="仿宋_GB2312" w:hAnsi="Times New Roman" w:eastAsia="仿宋_GB2312" w:cs="仿宋_GB2312"/>
      <w:sz w:val="28"/>
      <w:szCs w:val="28"/>
    </w:rPr>
  </w:style>
  <w:style w:type="character" w:customStyle="1" w:styleId="31">
    <w:name w:val="脚注文本 Char"/>
    <w:basedOn w:val="15"/>
    <w:link w:val="13"/>
    <w:semiHidden/>
    <w:qFormat/>
    <w:uiPriority w:val="99"/>
    <w:rPr>
      <w:rFonts w:ascii="Times New Roman" w:hAnsi="Times New Roman" w:eastAsia="宋体" w:cs="Times New Roman"/>
      <w:sz w:val="18"/>
      <w:szCs w:val="18"/>
    </w:rPr>
  </w:style>
  <w:style w:type="character" w:customStyle="1" w:styleId="32">
    <w:name w:val="批注主题 Char"/>
    <w:basedOn w:val="25"/>
    <w:link w:val="4"/>
    <w:semiHidden/>
    <w:qFormat/>
    <w:uiPriority w:val="99"/>
    <w:rPr>
      <w:rFonts w:ascii="Times New Roman" w:hAnsi="Times New Roman" w:eastAsia="宋体" w:cs="Times New Roman"/>
      <w:b/>
      <w:bCs/>
      <w:szCs w:val="21"/>
    </w:rPr>
  </w:style>
  <w:style w:type="character" w:customStyle="1" w:styleId="33">
    <w:name w:val="font11"/>
    <w:basedOn w:val="15"/>
    <w:qFormat/>
    <w:uiPriority w:val="0"/>
    <w:rPr>
      <w:rFonts w:hint="eastAsia" w:ascii="宋体" w:hAnsi="宋体" w:eastAsia="宋体" w:cs="宋体"/>
      <w:color w:val="000000"/>
      <w:sz w:val="18"/>
      <w:szCs w:val="18"/>
      <w:u w:val="none"/>
    </w:rPr>
  </w:style>
  <w:style w:type="character" w:customStyle="1" w:styleId="34">
    <w:name w:val="font41"/>
    <w:basedOn w:val="15"/>
    <w:qFormat/>
    <w:uiPriority w:val="0"/>
    <w:rPr>
      <w:rFonts w:hint="default" w:ascii="Times New Roman" w:hAnsi="Times New Roman" w:cs="Times New Roman"/>
      <w:color w:val="000000"/>
      <w:sz w:val="18"/>
      <w:szCs w:val="18"/>
      <w:u w:val="none"/>
    </w:rPr>
  </w:style>
  <w:style w:type="character" w:customStyle="1" w:styleId="35">
    <w:name w:val="font21"/>
    <w:basedOn w:val="15"/>
    <w:qFormat/>
    <w:uiPriority w:val="0"/>
    <w:rPr>
      <w:rFonts w:hint="eastAsia" w:ascii="宋体" w:hAnsi="宋体" w:eastAsia="宋体" w:cs="宋体"/>
      <w:color w:val="000000"/>
      <w:sz w:val="18"/>
      <w:szCs w:val="18"/>
      <w:u w:val="none"/>
    </w:rPr>
  </w:style>
  <w:style w:type="character" w:customStyle="1" w:styleId="36">
    <w:name w:val="font51"/>
    <w:basedOn w:val="15"/>
    <w:qFormat/>
    <w:uiPriority w:val="0"/>
    <w:rPr>
      <w:rFonts w:hint="eastAsia" w:ascii="宋体" w:hAnsi="宋体" w:eastAsia="宋体" w:cs="宋体"/>
      <w:color w:val="000000"/>
      <w:sz w:val="18"/>
      <w:szCs w:val="18"/>
      <w:u w:val="none"/>
    </w:rPr>
  </w:style>
  <w:style w:type="character" w:customStyle="1" w:styleId="37">
    <w:name w:val="font6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39B72-1778-43DB-B696-A9588E9E6C8A}">
  <ds:schemaRefs/>
</ds:datastoreItem>
</file>

<file path=docProps/app.xml><?xml version="1.0" encoding="utf-8"?>
<Properties xmlns="http://schemas.openxmlformats.org/officeDocument/2006/extended-properties" xmlns:vt="http://schemas.openxmlformats.org/officeDocument/2006/docPropsVTypes">
  <Template>Normal</Template>
  <Pages>1</Pages>
  <Words>2172</Words>
  <Characters>12386</Characters>
  <Lines>103</Lines>
  <Paragraphs>29</Paragraphs>
  <ScaleCrop>false</ScaleCrop>
  <LinksUpToDate>false</LinksUpToDate>
  <CharactersWithSpaces>14529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2016-03-16T09:58:00Z</dcterms:created>
  <dc:creator>user</dc:creator>
  <cp:lastModifiedBy>Lenovo</cp:lastModifiedBy>
  <cp:lastPrinted>2016-06-12T07:11:00Z</cp:lastPrinted>
  <dcterms:modified xsi:type="dcterms:W3CDTF">2016-07-08T01:19:23Z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