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15" w:rsidRDefault="000E5F15" w:rsidP="000E5F15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b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int="eastAsia"/>
          <w:color w:val="000000"/>
          <w:sz w:val="32"/>
          <w:szCs w:val="32"/>
        </w:rPr>
        <w:t xml:space="preserve"> </w:t>
      </w:r>
    </w:p>
    <w:p w:rsidR="000E5F15" w:rsidRDefault="000E5F15" w:rsidP="000E5F15">
      <w:pPr>
        <w:rPr>
          <w:rFonts w:eastAsia="仿宋_GB2312" w:hint="eastAsia"/>
          <w:color w:val="000000"/>
          <w:sz w:val="32"/>
          <w:szCs w:val="32"/>
        </w:rPr>
      </w:pPr>
    </w:p>
    <w:p w:rsidR="000E5F15" w:rsidRDefault="000E5F15" w:rsidP="000E5F15">
      <w:pPr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《商贸服务典型企业统计报表制度》修订说明</w:t>
      </w:r>
    </w:p>
    <w:p w:rsidR="000E5F15" w:rsidRDefault="000E5F15" w:rsidP="000E5F15">
      <w:pPr>
        <w:jc w:val="center"/>
        <w:rPr>
          <w:rFonts w:ascii="楷体_GB2312" w:eastAsia="楷体_GB2312" w:hint="eastAsia"/>
          <w:color w:val="000000"/>
          <w:sz w:val="32"/>
          <w:szCs w:val="32"/>
        </w:rPr>
      </w:pP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200" w:firstLine="64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根据近年来商贸流通业出现的新情况、新变化，在深入调查研究并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广泛征求各方意见的基础上，</w:t>
      </w:r>
      <w:r>
        <w:rPr>
          <w:rFonts w:eastAsia="仿宋_GB2312" w:hint="eastAsia"/>
          <w:sz w:val="32"/>
          <w:szCs w:val="32"/>
        </w:rPr>
        <w:t>我部对《商贸服务典型企业统计报表制度》进行了修订。现就修订情况说明如下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</w:t>
      </w:r>
    </w:p>
    <w:p w:rsidR="000E5F15" w:rsidRDefault="000E5F15" w:rsidP="000E5F1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新增部分报表</w:t>
      </w:r>
    </w:p>
    <w:p w:rsidR="000E5F15" w:rsidRDefault="000E5F15" w:rsidP="000E5F15">
      <w:pPr>
        <w:ind w:left="1" w:firstLineChars="147" w:firstLine="472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（一）增加零售</w:t>
      </w:r>
      <w:proofErr w:type="gramStart"/>
      <w:r>
        <w:rPr>
          <w:rFonts w:eastAsia="仿宋_GB2312" w:hint="eastAsia"/>
          <w:b/>
          <w:sz w:val="32"/>
          <w:szCs w:val="32"/>
        </w:rPr>
        <w:t>行业月</w:t>
      </w:r>
      <w:proofErr w:type="gramEnd"/>
      <w:r>
        <w:rPr>
          <w:rFonts w:eastAsia="仿宋_GB2312" w:hint="eastAsia"/>
          <w:b/>
          <w:sz w:val="32"/>
          <w:szCs w:val="32"/>
        </w:rPr>
        <w:t>报表。</w:t>
      </w:r>
      <w:r>
        <w:rPr>
          <w:rFonts w:eastAsia="仿宋_GB2312" w:hint="eastAsia"/>
          <w:sz w:val="32"/>
          <w:szCs w:val="32"/>
        </w:rPr>
        <w:t>为加强资源整合，减少交叉重叠，停止执行《重点流通企业监测统计报表制度》，将其中的《重点批发零售企业商品销售统计报表》及《重点零售企业商品销售数量统计报表》并入本报表制度，并分别更名为《典型零售企业商品销售额统计月报表》及《典型零售企业商品销售量统计月报表》。在《典型零售企业商品销售量统计月报表》中增加小排量乘用车、新能源汽车两项统计指标。</w:t>
      </w:r>
      <w:r>
        <w:rPr>
          <w:rFonts w:eastAsia="仿宋_GB2312"/>
          <w:sz w:val="32"/>
          <w:szCs w:val="32"/>
        </w:rPr>
        <w:t xml:space="preserve"> 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（二）增加零售行业季报表。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更好地掌握零售行业动态变化，增加《典型零售企业经营情况统计季报表》，主要指标包括商品购进额、商品销售额、从业人员数、营业面积、主营业务收入、主营业务成本、营业利润、利润总额等，报送时间为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月、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月、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月、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日前。将《重点流通企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业监测统计报表制度》中的《购物中心经营情况统计报表》并入本报表制度。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（三）增加生活服务行业月报表。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为更好地掌握生活服务行业动态变化，增加《典型生活服务企业经营情况统计表》，所涉行业包括住宿、餐饮、洗染、洗浴、家政服务、美容美发、人像摄影及家电维修，指标为营业额，报送时间为每月6日前。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ascii="Times New Roman" w:eastAsia="楷体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（四）增加电子商务</w:t>
      </w:r>
      <w:proofErr w:type="gramStart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行业月</w:t>
      </w:r>
      <w:proofErr w:type="gramEnd"/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报表。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为更好地掌握电子商务行业动态变化，增加《典型电子商务交易平台服务企业经营情况统计月报表》，主要指标包括交易额、订单数、支付情况、从业人员等，报送时间为每月6日前。</w:t>
      </w:r>
    </w:p>
    <w:p w:rsidR="000E5F15" w:rsidRDefault="000E5F15" w:rsidP="000E5F15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修订部分报表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（一）修订工业消费品批发及零售行业年报表。</w:t>
      </w:r>
      <w:r>
        <w:rPr>
          <w:rFonts w:eastAsia="仿宋_GB2312" w:hint="eastAsia"/>
          <w:sz w:val="32"/>
          <w:szCs w:val="32"/>
        </w:rPr>
        <w:t>为更好地掌握批发、零售企业经营情况，在《典型工业消费品批发企业经营情况统计表》、《典型零售企业经营情况统计年报表》中增加流动负债指标，在电子商务销售额指标项下增加自营平台销售额、第三方平台销售额两项指标。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（二）修订生产资料批发行业报表。</w:t>
      </w:r>
      <w:r>
        <w:rPr>
          <w:rFonts w:eastAsia="仿宋_GB2312" w:hint="eastAsia"/>
          <w:sz w:val="32"/>
          <w:szCs w:val="32"/>
        </w:rPr>
        <w:t>为更好地掌握生产资料流通行业物流成本情况，在《典型生产资料批发企业经营情况统计表》中增加物流成本合计及对外支付的物流成本两项指标。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ascii="Times New Roman" w:eastAsia="楷体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（三）修订展览行业报表。</w:t>
      </w:r>
      <w:r>
        <w:rPr>
          <w:rFonts w:eastAsia="仿宋_GB2312" w:hint="eastAsia"/>
          <w:sz w:val="32"/>
          <w:szCs w:val="32"/>
        </w:rPr>
        <w:t>为更好地掌握展览单位经营情况，在《典型展览单位经营情况统计表》中增加展馆接办展总面积、展览会数量两项指标。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（四）修订融资租赁行业报表。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为更好地掌握融资租赁企业经营情况，在《融资租赁企业经营情况统计表》中增加实收资本金、净利润、逾期租金、对外担保余额等指标。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（五）修订直销行业报表。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进一步加强直销行业监管，在《直销企业经营情况统计表》中增加企业高级管理人员情况；为更好地掌握直销企业经营状况及对社会的贡献情况，增加连锁门店数、企业员工数、退换货产品数量及金额、互联网零售额、注册会员数、公益慈善支出、直销员身份及销售明细情况等指标。</w:t>
      </w:r>
    </w:p>
    <w:p w:rsidR="000E5F15" w:rsidRDefault="000E5F15" w:rsidP="000E5F15">
      <w:pPr>
        <w:pStyle w:val="a3"/>
        <w:spacing w:before="0" w:beforeAutospacing="0" w:after="0" w:afterAutospacing="0" w:line="330" w:lineRule="atLeast"/>
        <w:ind w:firstLineChars="150" w:firstLine="482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（六）修订电子商务行业年报表。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为更为全面地掌握电子商务行业运行情况，在《典型电子商务服务企业经营情况统计年报表》中增加企业类别、物流快递配送订单数、移动设备订单数等指标。为减轻企业负担，删除网络日均浏览量、建设运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维情况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等指标。</w:t>
      </w:r>
    </w:p>
    <w:p w:rsidR="000E5F15" w:rsidRDefault="000E5F15" w:rsidP="000E5F15">
      <w:pPr>
        <w:autoSpaceDE w:val="0"/>
        <w:autoSpaceDN w:val="0"/>
        <w:adjustRightInd w:val="0"/>
        <w:spacing w:line="558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0E5F15" w:rsidRDefault="000E5F15" w:rsidP="000E5F15">
      <w:pPr>
        <w:autoSpaceDE w:val="0"/>
        <w:autoSpaceDN w:val="0"/>
        <w:adjustRightInd w:val="0"/>
        <w:spacing w:line="558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0E5F15" w:rsidRDefault="000E5F15" w:rsidP="000E5F15">
      <w:pPr>
        <w:autoSpaceDE w:val="0"/>
        <w:autoSpaceDN w:val="0"/>
        <w:adjustRightInd w:val="0"/>
        <w:spacing w:line="558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F0B4C" w:rsidRPr="000E5F15" w:rsidRDefault="007F0B4C">
      <w:pPr>
        <w:rPr>
          <w:rFonts w:hint="eastAsia"/>
        </w:rPr>
      </w:pPr>
    </w:p>
    <w:sectPr w:rsidR="007F0B4C" w:rsidRPr="000E5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AF7"/>
    <w:multiLevelType w:val="hybridMultilevel"/>
    <w:tmpl w:val="D202512C"/>
    <w:lvl w:ilvl="0" w:tplc="F6C68DD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6"/>
    <w:rsid w:val="000E5F15"/>
    <w:rsid w:val="007F0B4C"/>
    <w:rsid w:val="00D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F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F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2016-02-04T00:46:00Z</dcterms:created>
  <dcterms:modified xsi:type="dcterms:W3CDTF">2016-02-04T00:46:00Z</dcterms:modified>
</cp:coreProperties>
</file>