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val="en-US" w:eastAsia="zh-CN"/>
              </w:rPr>
              <w:t>4</w:t>
            </w:r>
            <w:r>
              <w:rPr>
                <w:rFonts w:hint="eastAsia" w:ascii="黑体" w:hAnsi="黑体" w:eastAsia="黑体"/>
                <w:sz w:val="21"/>
                <w:szCs w:val="21"/>
              </w:rPr>
              <w:t>3.0</w:t>
            </w:r>
            <w:r>
              <w:rPr>
                <w:rFonts w:hint="eastAsia" w:ascii="黑体" w:hAnsi="黑体" w:eastAsia="黑体"/>
                <w:sz w:val="21"/>
                <w:szCs w:val="21"/>
                <w:lang w:val="en-US" w:eastAsia="zh-CN"/>
              </w:rPr>
              <w:t>2</w:t>
            </w:r>
            <w:r>
              <w:rPr>
                <w:rFonts w:hint="eastAsia" w:ascii="黑体" w:hAnsi="黑体" w:eastAsia="黑体"/>
                <w:sz w:val="21"/>
                <w:szCs w:val="21"/>
              </w:rPr>
              <w:t>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val="en-US" w:eastAsia="zh-CN"/>
              </w:rPr>
              <w:t>T</w:t>
            </w:r>
            <w:r>
              <w:rPr>
                <w:rFonts w:hint="eastAsia" w:ascii="黑体" w:hAnsi="黑体" w:eastAsia="黑体"/>
                <w:sz w:val="21"/>
                <w:szCs w:val="21"/>
              </w:rPr>
              <w:t xml:space="preserve"> 0</w:t>
            </w:r>
            <w:r>
              <w:rPr>
                <w:rFonts w:hint="eastAsia" w:ascii="黑体" w:hAnsi="黑体" w:eastAsia="黑体"/>
                <w:sz w:val="21"/>
                <w:szCs w:val="21"/>
                <w:lang w:val="en-US" w:eastAsia="zh-CN"/>
              </w:rPr>
              <w:t>0</w:t>
            </w:r>
            <w:r>
              <w:rPr>
                <w:rFonts w:ascii="黑体" w:hAnsi="黑体" w:eastAsia="黑体"/>
                <w:sz w:val="21"/>
                <w:szCs w:val="21"/>
              </w:rPr>
              <w:fldChar w:fldCharType="end"/>
            </w:r>
            <w:bookmarkEnd w:id="1"/>
          </w:p>
        </w:tc>
      </w:tr>
    </w:tbl>
    <w:p>
      <w:pPr>
        <w:pStyle w:val="51"/>
        <w:framePr w:w="9639" w:h="624" w:hRule="exact" w:hSpace="181" w:vSpace="181" w:wrap="around" w:hAnchor="page" w:x="1305" w:y="2269"/>
        <w:rPr>
          <w:rFonts w:ascii="黑体" w:hAnsi="黑体" w:eastAsia="黑体"/>
          <w:b w:val="0"/>
          <w:bCs w:val="0"/>
          <w:w w:val="100"/>
          <w:sz w:val="48"/>
          <w:szCs w:val="48"/>
        </w:rPr>
      </w:pPr>
      <w:bookmarkStart w:id="2" w:name="_Hlk26473981"/>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3"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lang w:val="en-US" w:eastAsia="zh-CN"/>
        </w:rPr>
        <w:t>外经贸</w:t>
      </w:r>
      <w:r>
        <w:rPr>
          <w:rFonts w:ascii="黑体" w:eastAsia="黑体"/>
          <w:b w:val="0"/>
          <w:bCs w:val="0"/>
          <w:w w:val="100"/>
          <w:sz w:val="48"/>
        </w:rPr>
        <w:fldChar w:fldCharType="end"/>
      </w:r>
      <w:bookmarkEnd w:id="3"/>
      <w:r>
        <w:rPr>
          <w:rFonts w:hint="eastAsia" w:ascii="黑体" w:hAnsi="黑体" w:eastAsia="黑体"/>
          <w:b w:val="0"/>
          <w:bCs w:val="0"/>
          <w:w w:val="100"/>
          <w:sz w:val="48"/>
          <w:szCs w:val="48"/>
        </w:rPr>
        <w:t>行业标准</w:t>
      </w:r>
    </w:p>
    <w:bookmarkEnd w:id="2"/>
    <w:p>
      <w:pPr>
        <w:pStyle w:val="196"/>
      </w:pPr>
      <w:r>
        <w:fldChar w:fldCharType="begin">
          <w:ffData>
            <w:name w:val="文字1"/>
            <w:enabled/>
            <w:calcOnExit w:val="0"/>
            <w:textInput>
              <w:default w:val="XX"/>
            </w:textInput>
          </w:ffData>
        </w:fldChar>
      </w:r>
      <w:bookmarkStart w:id="4" w:name="文字1"/>
      <w:r>
        <w:instrText xml:space="preserve"> FORMTEXT </w:instrText>
      </w:r>
      <w:r>
        <w:fldChar w:fldCharType="separate"/>
      </w:r>
      <w:r>
        <w:rPr>
          <w:rFonts w:hint="eastAsia"/>
          <w:lang w:val="en-US" w:eastAsia="zh-CN"/>
        </w:rPr>
        <w:t>WM</w:t>
      </w:r>
      <w:r>
        <w:rPr>
          <w:rFonts w:hint="eastAsia"/>
        </w:rPr>
        <w:t>/T</w:t>
      </w:r>
      <w:r>
        <w:fldChar w:fldCharType="end"/>
      </w:r>
      <w:bookmarkEnd w:id="4"/>
      <w:r>
        <w:t xml:space="preserve"> </w:t>
      </w:r>
      <w:r>
        <w:fldChar w:fldCharType="begin">
          <w:ffData>
            <w:name w:val="NSTD_CODE_F"/>
            <w:enabled/>
            <w:calcOnExit w:val="0"/>
            <w:textInput>
              <w:default w:val="XXXXX"/>
            </w:textInput>
          </w:ffData>
        </w:fldChar>
      </w:r>
      <w:bookmarkStart w:id="5" w:name="NSTD_CODE_F"/>
      <w:r>
        <w:instrText xml:space="preserve"> FORMTEXT </w:instrText>
      </w:r>
      <w:r>
        <w:fldChar w:fldCharType="separate"/>
      </w:r>
      <w:r>
        <w:rPr>
          <w:rFonts w:hint="eastAsia"/>
          <w:lang w:val="en-US" w:eastAsia="zh-CN"/>
        </w:rPr>
        <w:t>XXXX</w:t>
      </w:r>
      <w:r>
        <w:fldChar w:fldCharType="end"/>
      </w:r>
      <w:bookmarkEnd w:id="5"/>
      <w:r>
        <w:rPr>
          <w:rFonts w:hAnsi="黑体"/>
        </w:rPr>
        <w:t>—</w:t>
      </w:r>
      <w:r>
        <w:fldChar w:fldCharType="begin">
          <w:ffData>
            <w:name w:val="NSTD_CODE_B"/>
            <w:enabled/>
            <w:calcOnExit w:val="0"/>
            <w:textInput>
              <w:default w:val="XXXX"/>
            </w:textInput>
          </w:ffData>
        </w:fldChar>
      </w:r>
      <w:bookmarkStart w:id="6" w:name="NSTD_CODE_B"/>
      <w:r>
        <w:instrText xml:space="preserve"> FORMTEXT </w:instrText>
      </w:r>
      <w:r>
        <w:fldChar w:fldCharType="separate"/>
      </w:r>
      <w:r>
        <w:rPr>
          <w:rFonts w:hint="eastAsia"/>
          <w:lang w:val="en-US" w:eastAsia="zh-CN"/>
        </w:rPr>
        <w:t>XXXX</w:t>
      </w:r>
      <w:r>
        <w:fldChar w:fldCharType="end"/>
      </w:r>
      <w:bookmarkEnd w:id="6"/>
    </w:p>
    <w:p>
      <w:pPr>
        <w:pStyle w:val="50"/>
        <w:framePr w:w="0" w:hRule="auto" w:wrap="around" w:x="7089" w:y="398"/>
        <w:ind w:firstLine="420"/>
        <w:rPr>
          <w:rFonts w:hint="eastAsia" w:ascii="黑体" w:hAnsi="黑体" w:eastAsia="黑体" w:cs="黑体"/>
          <w:lang w:val="en-US" w:eastAsia="zh-CN"/>
        </w:rPr>
      </w:pPr>
      <w:r>
        <w:rPr>
          <w:rFonts w:hint="eastAsia" w:ascii="黑体" w:hAnsi="黑体" w:eastAsia="黑体" w:cs="黑体"/>
          <w:lang w:val="en-US" w:eastAsia="zh-CN"/>
        </w:rPr>
        <w:t>WM</w:t>
      </w:r>
    </w:p>
    <w:p>
      <w:pPr>
        <w:spacing w:line="240" w:lineRule="auto"/>
        <w:rPr>
          <w:rFonts w:hint="eastAsia" w:ascii="黑体" w:hAnsi="黑体" w:eastAsia="黑体" w:cs="黑体"/>
          <w:kern w:val="0"/>
          <w:sz w:val="10"/>
          <w:szCs w:val="10"/>
        </w:rPr>
      </w:pPr>
      <w:r>
        <w:rPr>
          <w:rFonts w:hint="eastAsia" w:ascii="黑体" w:hAnsi="黑体" w:eastAsia="黑体" w:cs="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二手乘用车出口</w:t>
      </w:r>
      <w:r>
        <w:rPr>
          <w:rFonts w:hint="eastAsia"/>
          <w:lang w:val="en-US" w:eastAsia="zh-CN"/>
        </w:rPr>
        <w:t>质量标准</w:t>
      </w:r>
      <w:r>
        <w:fldChar w:fldCharType="end"/>
      </w:r>
      <w:bookmarkEnd w:id="7"/>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hint="eastAsia" w:eastAsia="黑体"/>
          <w:szCs w:val="28"/>
          <w:lang w:val="en-US" w:eastAsia="zh-CN"/>
        </w:rPr>
        <w:t xml:space="preserve">Quality standard </w:t>
      </w:r>
      <w:r>
        <w:rPr>
          <w:rFonts w:hint="eastAsia" w:eastAsia="黑体"/>
          <w:szCs w:val="28"/>
        </w:rPr>
        <w:t>for used passenger car export</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bookmarkStart w:id="9" w:name="下拉1"/>
      <w:r>
        <w:rPr>
          <w:rFonts w:ascii="Times New Roman" w:hAnsi="Times New Roman" w:eastAsia="宋体" w:cs="Times New Roman"/>
          <w:sz w:val="24"/>
          <w:szCs w:val="28"/>
          <w:lang w:val="en-US" w:eastAsia="zh-CN" w:bidi="ar-SA"/>
        </w:rPr>
        <w:fldChar w:fldCharType="begin">
          <w:ffData>
            <w:name w:val="下拉1"/>
            <w:enabled/>
            <w:calcOnExit w:val="0"/>
            <w:ddList>
              <w:listEntry w:val="（征求意见稿）"/>
              <w:listEntry w:val="（工作组讨论稿）"/>
              <w:listEntry w:val=" "/>
              <w:listEntry w:val="草案版次选择"/>
              <w:listEntry w:val="（送审讨论稿）"/>
              <w:listEntry w:val="（送审稿）"/>
              <w:listEntry w:val="（报批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9"/>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rFonts w:hint="eastAsia"/>
          <w:sz w:val="21"/>
          <w:szCs w:val="28"/>
        </w:rPr>
        <w:t>（本稿完成时间：202</w:t>
      </w:r>
      <w:r>
        <w:rPr>
          <w:rFonts w:hint="eastAsia"/>
          <w:sz w:val="21"/>
          <w:szCs w:val="28"/>
          <w:lang w:val="en-US" w:eastAsia="zh-CN"/>
        </w:rPr>
        <w:t>1</w:t>
      </w:r>
      <w:r>
        <w:rPr>
          <w:rFonts w:hint="eastAsia"/>
          <w:sz w:val="21"/>
          <w:szCs w:val="28"/>
        </w:rPr>
        <w:t>-</w:t>
      </w:r>
      <w:r>
        <w:rPr>
          <w:rFonts w:hint="eastAsia"/>
          <w:sz w:val="21"/>
          <w:szCs w:val="28"/>
          <w:lang w:val="en-US" w:eastAsia="zh-CN"/>
        </w:rPr>
        <w:t>03</w:t>
      </w:r>
      <w:r>
        <w:rPr>
          <w:rFonts w:hint="eastAsia"/>
          <w:sz w:val="21"/>
          <w:szCs w:val="28"/>
        </w:rPr>
        <w:t>-</w:t>
      </w:r>
      <w:r>
        <w:rPr>
          <w:rFonts w:hint="eastAsia"/>
          <w:sz w:val="21"/>
          <w:szCs w:val="28"/>
          <w:lang w:val="en-US" w:eastAsia="zh-CN"/>
        </w:rPr>
        <w:t>25</w:t>
      </w:r>
      <w:r>
        <w:rPr>
          <w:rFonts w:hint="eastAsia"/>
          <w:sz w:val="21"/>
          <w:szCs w:val="28"/>
        </w:rPr>
        <w:t>）</w:t>
      </w:r>
      <w:r>
        <w:rPr>
          <w:sz w:val="21"/>
          <w:szCs w:val="28"/>
        </w:rPr>
        <w:fldChar w:fldCharType="end"/>
      </w:r>
      <w:bookmarkEnd w:id="10"/>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4"/>
        <w:framePr w:wrap="around" w:x="1432" w:y="1408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hint="eastAsia"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5"/>
        <w:framePr w:wrap="around" w:x="7103" w:y="1408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hint="eastAsia"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w:t>
      </w:r>
      <w:r>
        <w:rPr>
          <w:rFonts w:hAnsi="黑体"/>
          <w:w w:val="100"/>
          <w:sz w:val="28"/>
        </w:rPr>
        <w:t>人民共和国商务部</w:t>
      </w:r>
      <w:r>
        <w:rPr>
          <w:rFonts w:hAnsi="黑体"/>
          <w:w w:val="100"/>
          <w:sz w:val="28"/>
        </w:rPr>
        <w:fldChar w:fldCharType="end"/>
      </w:r>
      <w:bookmarkEnd w:id="18"/>
      <w:r>
        <w:rPr>
          <w:rFonts w:ascii="Times New Roman"/>
          <w:w w:val="100"/>
          <w:sz w:val="28"/>
          <w:szCs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5" w:type="first"/>
          <w:footerReference r:id="rId7" w:type="first"/>
          <w:headerReference r:id="rId3" w:type="default"/>
          <w:headerReference r:id="rId4" w:type="even"/>
          <w:footerReference r:id="rId6" w:type="even"/>
          <w:pgSz w:w="11906" w:h="16838"/>
          <w:pgMar w:top="-340" w:right="1134" w:bottom="1020" w:left="1417" w:header="851" w:footer="992" w:gutter="0"/>
          <w:cols w:space="425" w:num="1"/>
          <w:docGrid w:type="lines"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241"/>
        <w:rPr>
          <w:highlight w:val="none"/>
        </w:rPr>
      </w:pPr>
      <w:bookmarkStart w:id="19" w:name="_Toc30307"/>
      <w:bookmarkStart w:id="20" w:name="_Toc941"/>
      <w:bookmarkStart w:id="21" w:name="_Toc58571821"/>
      <w:bookmarkStart w:id="22" w:name="_Toc19448"/>
      <w:bookmarkStart w:id="23" w:name="_Toc5288"/>
      <w:bookmarkStart w:id="24" w:name="_Toc1655"/>
      <w:bookmarkStart w:id="25" w:name="_Toc26237"/>
      <w:bookmarkStart w:id="26" w:name="_Toc260845050"/>
      <w:bookmarkStart w:id="27" w:name="_Toc270323408"/>
      <w:bookmarkStart w:id="28" w:name="_Toc403047357"/>
      <w:bookmarkStart w:id="29" w:name="_Toc297711990"/>
      <w:bookmarkStart w:id="30" w:name="_Toc260908327"/>
      <w:bookmarkStart w:id="31" w:name="_Toc271031578"/>
      <w:bookmarkStart w:id="32" w:name="_Toc270411972"/>
      <w:bookmarkStart w:id="33" w:name="_Toc260839704"/>
      <w:bookmarkStart w:id="34" w:name="_Toc270325256"/>
      <w:bookmarkStart w:id="35" w:name="_Toc312254162"/>
      <w:bookmarkStart w:id="36" w:name="_Toc260908282"/>
      <w:bookmarkStart w:id="37" w:name="_Toc268600473"/>
      <w:bookmarkStart w:id="38" w:name="_Toc312255128"/>
      <w:bookmarkStart w:id="39" w:name="BookMark4"/>
      <w:r>
        <w:rPr>
          <w:rFonts w:hint="eastAsia"/>
          <w:highlight w:val="none"/>
        </w:rPr>
        <w:t>目</w:t>
      </w:r>
      <w:bookmarkStart w:id="40" w:name="BKML"/>
      <w:r>
        <w:rPr>
          <w:highlight w:val="none"/>
        </w:rPr>
        <w:t>  </w:t>
      </w:r>
      <w:r>
        <w:rPr>
          <w:rFonts w:hint="eastAsia"/>
          <w:highlight w:val="none"/>
        </w:rPr>
        <w:t>次</w:t>
      </w:r>
      <w:bookmarkEnd w:id="19"/>
      <w:bookmarkEnd w:id="20"/>
      <w:bookmarkEnd w:id="21"/>
      <w:bookmarkEnd w:id="22"/>
      <w:bookmarkEnd w:id="23"/>
      <w:bookmarkEnd w:id="24"/>
      <w:bookmarkEnd w:id="25"/>
      <w:bookmarkEnd w:id="40"/>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_Toc27237 </w:instrText>
      </w:r>
      <w:r>
        <w:rPr>
          <w:rFonts w:hint="eastAsia" w:ascii="宋体" w:hAnsi="宋体" w:eastAsia="宋体" w:cs="宋体"/>
        </w:rPr>
        <w:fldChar w:fldCharType="separate"/>
      </w:r>
      <w:r>
        <w:rPr>
          <w:rFonts w:hint="eastAsia" w:hAnsi="宋体" w:cs="宋体"/>
        </w:rPr>
        <w:t>前言</w:t>
      </w:r>
      <w:r>
        <w:rPr>
          <w:rFonts w:hint="eastAsia" w:hAnsi="宋体" w:cs="宋体"/>
        </w:rPr>
        <w:tab/>
      </w:r>
      <w:r>
        <w:rPr>
          <w:rFonts w:hint="eastAsia" w:hAnsi="宋体" w:cs="宋体"/>
        </w:rPr>
        <w:fldChar w:fldCharType="begin"/>
      </w:r>
      <w:r>
        <w:rPr>
          <w:rFonts w:hint="eastAsia" w:hAnsi="宋体" w:cs="宋体"/>
        </w:rPr>
        <w:instrText xml:space="preserve"> PAGEREF _Toc27237 \h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ascii="宋体" w:hAnsi="宋体" w:eastAsia="宋体" w:cs="宋体"/>
        </w:rPr>
        <w:fldChar w:fldCharType="end"/>
      </w:r>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_Toc22130 </w:instrText>
      </w:r>
      <w:r>
        <w:rPr>
          <w:rFonts w:hint="eastAsia" w:ascii="宋体" w:hAnsi="宋体" w:eastAsia="宋体" w:cs="宋体"/>
        </w:rPr>
        <w:fldChar w:fldCharType="separate"/>
      </w:r>
      <w:r>
        <w:rPr>
          <w:rFonts w:hint="eastAsia" w:hAnsi="宋体" w:cs="宋体"/>
        </w:rPr>
        <w:t>引言</w:t>
      </w:r>
      <w:r>
        <w:rPr>
          <w:rFonts w:hint="eastAsia" w:hAnsi="宋体" w:cs="宋体"/>
        </w:rPr>
        <w:tab/>
      </w:r>
      <w:r>
        <w:rPr>
          <w:rFonts w:hint="eastAsia" w:hAnsi="宋体" w:cs="宋体"/>
        </w:rPr>
        <w:fldChar w:fldCharType="begin"/>
      </w:r>
      <w:r>
        <w:rPr>
          <w:rFonts w:hint="eastAsia" w:hAnsi="宋体" w:cs="宋体"/>
        </w:rPr>
        <w:instrText xml:space="preserve"> PAGEREF _Toc22130 \h </w:instrText>
      </w:r>
      <w:r>
        <w:rPr>
          <w:rFonts w:hint="eastAsia" w:hAnsi="宋体" w:cs="宋体"/>
        </w:rPr>
        <w:fldChar w:fldCharType="separate"/>
      </w:r>
      <w:r>
        <w:rPr>
          <w:rFonts w:hint="eastAsia" w:hAnsi="宋体" w:cs="宋体"/>
        </w:rPr>
        <w:t>III</w:t>
      </w:r>
      <w:r>
        <w:rPr>
          <w:rFonts w:hint="eastAsia" w:hAnsi="宋体" w:cs="宋体"/>
        </w:rPr>
        <w:fldChar w:fldCharType="end"/>
      </w:r>
      <w:r>
        <w:rPr>
          <w:rFonts w:hint="eastAsia" w:ascii="宋体" w:hAnsi="宋体" w:eastAsia="宋体" w:cs="宋体"/>
        </w:rPr>
        <w:fldChar w:fldCharType="end"/>
      </w:r>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_Toc13806 </w:instrText>
      </w:r>
      <w:r>
        <w:rPr>
          <w:rFonts w:hint="eastAsia" w:ascii="宋体" w:hAnsi="宋体" w:eastAsia="宋体" w:cs="宋体"/>
        </w:rPr>
        <w:fldChar w:fldCharType="separate"/>
      </w:r>
      <w:r>
        <w:rPr>
          <w:rFonts w:hint="eastAsia" w:ascii="宋体" w:hAnsi="宋体" w:eastAsia="宋体" w:cs="宋体"/>
          <w:i w:val="0"/>
        </w:rPr>
        <w:t xml:space="preserve">1 </w:t>
      </w:r>
      <w:r>
        <w:rPr>
          <w:rFonts w:hint="eastAsia" w:hAnsi="宋体" w:cs="宋体"/>
        </w:rPr>
        <w:t>范围</w:t>
      </w:r>
      <w:r>
        <w:rPr>
          <w:rFonts w:hint="eastAsia" w:hAnsi="宋体" w:cs="宋体"/>
        </w:rPr>
        <w:tab/>
      </w:r>
      <w:r>
        <w:rPr>
          <w:rFonts w:hint="eastAsia" w:hAnsi="宋体" w:cs="宋体"/>
        </w:rPr>
        <w:fldChar w:fldCharType="begin"/>
      </w:r>
      <w:r>
        <w:rPr>
          <w:rFonts w:hint="eastAsia" w:hAnsi="宋体" w:cs="宋体"/>
        </w:rPr>
        <w:instrText xml:space="preserve"> PAGEREF _Toc13806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rPr>
        <w:fldChar w:fldCharType="end"/>
      </w:r>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_Toc10816 </w:instrText>
      </w:r>
      <w:r>
        <w:rPr>
          <w:rFonts w:hint="eastAsia" w:ascii="宋体" w:hAnsi="宋体" w:eastAsia="宋体" w:cs="宋体"/>
        </w:rPr>
        <w:fldChar w:fldCharType="separate"/>
      </w:r>
      <w:r>
        <w:rPr>
          <w:rFonts w:hint="eastAsia" w:ascii="宋体" w:hAnsi="宋体" w:eastAsia="宋体" w:cs="宋体"/>
          <w:i w:val="0"/>
        </w:rPr>
        <w:t xml:space="preserve">2 </w:t>
      </w:r>
      <w:r>
        <w:rPr>
          <w:rFonts w:hint="eastAsia" w:hAnsi="宋体" w:cs="宋体"/>
        </w:rPr>
        <w:t>规范性引用文件</w:t>
      </w:r>
      <w:r>
        <w:rPr>
          <w:rFonts w:hint="eastAsia" w:hAnsi="宋体" w:cs="宋体"/>
        </w:rPr>
        <w:tab/>
      </w:r>
      <w:r>
        <w:rPr>
          <w:rFonts w:hint="eastAsia" w:hAnsi="宋体" w:cs="宋体"/>
        </w:rPr>
        <w:fldChar w:fldCharType="begin"/>
      </w:r>
      <w:r>
        <w:rPr>
          <w:rFonts w:hint="eastAsia" w:hAnsi="宋体" w:cs="宋体"/>
        </w:rPr>
        <w:instrText xml:space="preserve"> PAGEREF _Toc10816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rPr>
        <w:fldChar w:fldCharType="end"/>
      </w:r>
    </w:p>
    <w:p>
      <w:pPr>
        <w:pStyle w:val="25"/>
        <w:tabs>
          <w:tab w:val="right" w:leader="dot" w:pos="9354"/>
          <w:tab w:val="clear" w:pos="9344"/>
        </w:tabs>
        <w:spacing w:line="400" w:lineRule="exact"/>
        <w:ind w:left="0"/>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_Toc23530 </w:instrText>
      </w:r>
      <w:r>
        <w:rPr>
          <w:rFonts w:hint="eastAsia" w:ascii="宋体" w:hAnsi="宋体" w:eastAsia="宋体" w:cs="宋体"/>
        </w:rPr>
        <w:fldChar w:fldCharType="separate"/>
      </w:r>
      <w:r>
        <w:rPr>
          <w:rFonts w:hint="eastAsia" w:ascii="宋体" w:hAnsi="宋体" w:eastAsia="宋体" w:cs="宋体"/>
          <w:i w:val="0"/>
        </w:rPr>
        <w:t xml:space="preserve">3 </w:t>
      </w:r>
      <w:r>
        <w:rPr>
          <w:rFonts w:hint="eastAsia" w:hAnsi="宋体" w:cs="宋体"/>
        </w:rPr>
        <w:t>术语和定义</w:t>
      </w:r>
      <w:r>
        <w:rPr>
          <w:rFonts w:hint="eastAsia" w:hAnsi="宋体" w:cs="宋体"/>
        </w:rPr>
        <w:tab/>
      </w:r>
      <w:r>
        <w:rPr>
          <w:rFonts w:hint="eastAsia" w:hAnsi="宋体" w:cs="宋体"/>
        </w:rPr>
        <w:fldChar w:fldCharType="begin"/>
      </w:r>
      <w:r>
        <w:rPr>
          <w:rFonts w:hint="eastAsia" w:hAnsi="宋体" w:cs="宋体"/>
        </w:rPr>
        <w:instrText xml:space="preserve"> PAGEREF _Toc23530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rPr>
        <w:fldChar w:fldCharType="end"/>
      </w:r>
    </w:p>
    <w:p>
      <w:pPr>
        <w:pStyle w:val="25"/>
        <w:tabs>
          <w:tab w:val="right" w:leader="dot" w:pos="9354"/>
          <w:tab w:val="clear" w:pos="9344"/>
        </w:tabs>
        <w:spacing w:line="400" w:lineRule="exact"/>
        <w:ind w:left="0"/>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_Toc1592 </w:instrText>
      </w:r>
      <w:r>
        <w:rPr>
          <w:rFonts w:hint="eastAsia" w:ascii="宋体" w:hAnsi="宋体" w:eastAsia="宋体" w:cs="宋体"/>
        </w:rPr>
        <w:fldChar w:fldCharType="separate"/>
      </w:r>
      <w:r>
        <w:rPr>
          <w:rFonts w:hint="eastAsia" w:ascii="宋体" w:hAnsi="宋体" w:eastAsia="宋体" w:cs="宋体"/>
          <w:i w:val="0"/>
        </w:rPr>
        <w:t xml:space="preserve">4 </w:t>
      </w:r>
      <w:r>
        <w:rPr>
          <w:rFonts w:hint="eastAsia" w:hAnsi="宋体" w:cs="宋体"/>
          <w:lang w:val="en-US" w:eastAsia="zh-CN"/>
        </w:rPr>
        <w:t>质量要求</w:t>
      </w:r>
      <w:r>
        <w:rPr>
          <w:rFonts w:hint="eastAsia" w:hAnsi="宋体" w:cs="宋体"/>
        </w:rPr>
        <w:tab/>
      </w:r>
      <w:r>
        <w:rPr>
          <w:rFonts w:hint="eastAsia" w:hAnsi="宋体" w:cs="宋体"/>
        </w:rPr>
        <w:fldChar w:fldCharType="begin"/>
      </w:r>
      <w:r>
        <w:rPr>
          <w:rFonts w:hint="eastAsia" w:hAnsi="宋体" w:cs="宋体"/>
        </w:rPr>
        <w:instrText xml:space="preserve"> PAGEREF _Toc1592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ascii="宋体" w:hAnsi="宋体" w:eastAsia="宋体" w:cs="宋体"/>
        </w:rPr>
        <w:fldChar w:fldCharType="end"/>
      </w:r>
    </w:p>
    <w:p>
      <w:pPr>
        <w:pStyle w:val="25"/>
        <w:tabs>
          <w:tab w:val="right" w:leader="dot" w:pos="9354"/>
          <w:tab w:val="clear" w:pos="9344"/>
        </w:tabs>
        <w:spacing w:line="400" w:lineRule="exact"/>
        <w:ind w:left="0"/>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_Toc18392 </w:instrText>
      </w:r>
      <w:r>
        <w:rPr>
          <w:rFonts w:hint="eastAsia" w:ascii="宋体" w:hAnsi="宋体" w:eastAsia="宋体" w:cs="宋体"/>
        </w:rPr>
        <w:fldChar w:fldCharType="separate"/>
      </w:r>
      <w:r>
        <w:rPr>
          <w:rFonts w:hint="eastAsia" w:ascii="宋体" w:hAnsi="宋体" w:eastAsia="宋体" w:cs="宋体"/>
          <w:i w:val="0"/>
        </w:rPr>
        <w:t xml:space="preserve">5 </w:t>
      </w:r>
      <w:r>
        <w:rPr>
          <w:rFonts w:hint="eastAsia" w:hAnsi="宋体" w:cs="宋体"/>
          <w:lang w:val="en-US" w:eastAsia="zh-CN"/>
        </w:rPr>
        <w:t>流程及注意事项</w:t>
      </w:r>
      <w:r>
        <w:rPr>
          <w:rFonts w:hint="eastAsia" w:hAnsi="宋体" w:cs="宋体"/>
        </w:rPr>
        <w:tab/>
      </w:r>
      <w:r>
        <w:rPr>
          <w:rFonts w:hint="eastAsia" w:hAnsi="宋体" w:cs="宋体"/>
        </w:rPr>
        <w:fldChar w:fldCharType="begin"/>
      </w:r>
      <w:r>
        <w:rPr>
          <w:rFonts w:hint="eastAsia" w:hAnsi="宋体" w:cs="宋体"/>
        </w:rPr>
        <w:instrText xml:space="preserve"> PAGEREF _Toc18392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ascii="宋体" w:hAnsi="宋体" w:eastAsia="宋体" w:cs="宋体"/>
        </w:rPr>
        <w:fldChar w:fldCharType="end"/>
      </w:r>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_Toc7352 </w:instrText>
      </w:r>
      <w:r>
        <w:rPr>
          <w:rFonts w:hint="eastAsia" w:ascii="宋体" w:hAnsi="宋体" w:eastAsia="宋体" w:cs="宋体"/>
        </w:rPr>
        <w:fldChar w:fldCharType="separate"/>
      </w:r>
      <w:r>
        <w:rPr>
          <w:rFonts w:hint="eastAsia" w:hAnsi="宋体" w:cs="宋体"/>
          <w:spacing w:val="1"/>
          <w:w w:val="95"/>
          <w:kern w:val="0"/>
          <w:fitText w:val="400" w:id="2100116094"/>
        </w:rPr>
        <w:t>附</w:t>
      </w:r>
      <w:r>
        <w:rPr>
          <w:rFonts w:hint="eastAsia" w:hAnsi="宋体" w:cs="宋体"/>
          <w:spacing w:val="0"/>
          <w:w w:val="95"/>
          <w:kern w:val="0"/>
          <w:fitText w:val="400" w:id="2100116094"/>
        </w:rPr>
        <w:t>录</w:t>
      </w:r>
      <w:r>
        <w:rPr>
          <w:rFonts w:hint="eastAsia" w:hAnsi="宋体" w:cs="宋体"/>
          <w:spacing w:val="100"/>
        </w:rPr>
        <w:t>A</w:t>
      </w:r>
      <w:r>
        <w:rPr>
          <w:rFonts w:hint="eastAsia" w:hAnsi="宋体" w:cs="宋体"/>
        </w:rPr>
        <w:t>（资料性附录）二手乘用车出口</w:t>
      </w:r>
      <w:r>
        <w:rPr>
          <w:rFonts w:hint="eastAsia" w:hAnsi="宋体" w:cs="宋体"/>
          <w:lang w:val="en-US" w:eastAsia="zh-CN"/>
        </w:rPr>
        <w:t>质量报告</w:t>
      </w:r>
      <w:r>
        <w:rPr>
          <w:rFonts w:hint="eastAsia" w:hAnsi="宋体" w:cs="宋体"/>
        </w:rPr>
        <w:t>作业表（式样）</w:t>
      </w:r>
      <w:r>
        <w:rPr>
          <w:rFonts w:hint="eastAsia" w:hAnsi="宋体" w:cs="宋体"/>
        </w:rPr>
        <w:tab/>
      </w:r>
      <w:r>
        <w:rPr>
          <w:rFonts w:hint="eastAsia" w:hAnsi="宋体" w:cs="宋体"/>
        </w:rPr>
        <w:fldChar w:fldCharType="begin"/>
      </w:r>
      <w:r>
        <w:rPr>
          <w:rFonts w:hint="eastAsia" w:hAnsi="宋体" w:cs="宋体"/>
        </w:rPr>
        <w:instrText xml:space="preserve"> PAGEREF _Toc7352 \h </w:instrText>
      </w:r>
      <w:r>
        <w:rPr>
          <w:rFonts w:hint="eastAsia" w:hAnsi="宋体" w:cs="宋体"/>
        </w:rPr>
        <w:fldChar w:fldCharType="separate"/>
      </w:r>
      <w:r>
        <w:rPr>
          <w:rFonts w:hint="eastAsia" w:hAnsi="宋体" w:cs="宋体"/>
        </w:rPr>
        <w:t>7</w:t>
      </w:r>
      <w:r>
        <w:rPr>
          <w:rFonts w:hint="eastAsia" w:hAnsi="宋体" w:cs="宋体"/>
        </w:rPr>
        <w:fldChar w:fldCharType="end"/>
      </w:r>
      <w:r>
        <w:rPr>
          <w:rFonts w:hint="eastAsia" w:ascii="宋体" w:hAnsi="宋体" w:eastAsia="宋体" w:cs="宋体"/>
        </w:rPr>
        <w:fldChar w:fldCharType="end"/>
      </w:r>
    </w:p>
    <w:p>
      <w:pPr>
        <w:pStyle w:val="20"/>
        <w:tabs>
          <w:tab w:val="right" w:leader="dot" w:pos="9354"/>
          <w:tab w:val="clear" w:pos="9344"/>
        </w:tabs>
        <w:rPr>
          <w:rFonts w:hint="eastAsia"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_Toc12131 </w:instrText>
      </w:r>
      <w:r>
        <w:rPr>
          <w:rFonts w:hint="eastAsia" w:ascii="宋体" w:hAnsi="宋体" w:eastAsia="宋体" w:cs="宋体"/>
        </w:rPr>
        <w:fldChar w:fldCharType="separate"/>
      </w:r>
      <w:r>
        <w:rPr>
          <w:rFonts w:hint="eastAsia" w:hAnsi="宋体" w:cs="宋体"/>
          <w:spacing w:val="1"/>
          <w:w w:val="95"/>
          <w:kern w:val="0"/>
          <w:fitText w:val="400" w:id="2072992071"/>
        </w:rPr>
        <w:t>附</w:t>
      </w:r>
      <w:r>
        <w:rPr>
          <w:rFonts w:hint="eastAsia" w:hAnsi="宋体" w:cs="宋体"/>
          <w:spacing w:val="0"/>
          <w:w w:val="95"/>
          <w:kern w:val="0"/>
          <w:fitText w:val="400" w:id="2072992071"/>
        </w:rPr>
        <w:t>录</w:t>
      </w:r>
      <w:r>
        <w:rPr>
          <w:rFonts w:hint="eastAsia" w:hAnsi="宋体" w:cs="宋体"/>
          <w:spacing w:val="100"/>
        </w:rPr>
        <w:t>B</w:t>
      </w:r>
      <w:r>
        <w:rPr>
          <w:rFonts w:hint="eastAsia" w:hAnsi="宋体" w:cs="宋体"/>
        </w:rPr>
        <w:t>（资料性附录）二手乘用车出口</w:t>
      </w:r>
      <w:r>
        <w:rPr>
          <w:rFonts w:hint="eastAsia" w:hAnsi="宋体" w:cs="宋体"/>
          <w:lang w:val="en-US" w:eastAsia="zh-CN"/>
        </w:rPr>
        <w:t>质量</w:t>
      </w:r>
      <w:r>
        <w:rPr>
          <w:rFonts w:hint="eastAsia" w:hAnsi="宋体" w:cs="宋体"/>
        </w:rPr>
        <w:t>报告（式样）</w:t>
      </w:r>
      <w:r>
        <w:rPr>
          <w:rFonts w:hint="eastAsia" w:hAnsi="宋体" w:cs="宋体"/>
        </w:rPr>
        <w:tab/>
      </w:r>
      <w:r>
        <w:rPr>
          <w:rFonts w:hint="eastAsia" w:hAnsi="宋体" w:cs="宋体"/>
        </w:rPr>
        <w:fldChar w:fldCharType="begin"/>
      </w:r>
      <w:r>
        <w:rPr>
          <w:rFonts w:hint="eastAsia" w:hAnsi="宋体" w:cs="宋体"/>
        </w:rPr>
        <w:instrText xml:space="preserve"> PAGEREF _Toc12131 \h </w:instrText>
      </w:r>
      <w:r>
        <w:rPr>
          <w:rFonts w:hint="eastAsia" w:hAnsi="宋体" w:cs="宋体"/>
        </w:rPr>
        <w:fldChar w:fldCharType="separate"/>
      </w:r>
      <w:r>
        <w:rPr>
          <w:rFonts w:hint="eastAsia" w:hAnsi="宋体" w:cs="宋体"/>
        </w:rPr>
        <w:t>10</w:t>
      </w:r>
      <w:r>
        <w:rPr>
          <w:rFonts w:hint="eastAsia" w:hAnsi="宋体" w:cs="宋体"/>
        </w:rPr>
        <w:fldChar w:fldCharType="end"/>
      </w:r>
      <w:r>
        <w:rPr>
          <w:rFonts w:hint="eastAsia" w:ascii="宋体" w:hAnsi="宋体" w:eastAsia="宋体" w:cs="宋体"/>
        </w:rPr>
        <w:fldChar w:fldCharType="end"/>
      </w:r>
    </w:p>
    <w:p>
      <w:pPr>
        <w:pStyle w:val="20"/>
        <w:keepNext w:val="0"/>
        <w:keepLines w:val="0"/>
        <w:pageBreakBefore w:val="0"/>
        <w:widowControl w:val="0"/>
        <w:kinsoku/>
        <w:wordWrap/>
        <w:overflowPunct/>
        <w:topLinePunct w:val="0"/>
        <w:autoSpaceDE/>
        <w:autoSpaceDN/>
        <w:bidi w:val="0"/>
        <w:adjustRightInd w:val="0"/>
        <w:snapToGrid/>
        <w:spacing w:line="400" w:lineRule="exact"/>
        <w:textAlignment w:val="auto"/>
        <w:rPr>
          <w:rStyle w:val="33"/>
        </w:rPr>
      </w:pPr>
      <w:r>
        <w:rPr>
          <w:rFonts w:hint="eastAsia" w:ascii="宋体" w:hAnsi="宋体" w:eastAsia="宋体" w:cs="宋体"/>
        </w:rPr>
        <w:fldChar w:fldCharType="end"/>
      </w:r>
    </w:p>
    <w:p/>
    <w:bookmarkEnd w:id="26"/>
    <w:bookmarkEnd w:id="27"/>
    <w:bookmarkEnd w:id="28"/>
    <w:bookmarkEnd w:id="29"/>
    <w:bookmarkEnd w:id="30"/>
    <w:bookmarkEnd w:id="31"/>
    <w:bookmarkEnd w:id="32"/>
    <w:bookmarkEnd w:id="33"/>
    <w:bookmarkEnd w:id="34"/>
    <w:bookmarkEnd w:id="35"/>
    <w:bookmarkEnd w:id="36"/>
    <w:bookmarkEnd w:id="37"/>
    <w:bookmarkEnd w:id="38"/>
    <w:p>
      <w:pPr>
        <w:pStyle w:val="242"/>
        <w:ind w:left="168" w:hanging="168"/>
      </w:pPr>
      <w:bookmarkStart w:id="41" w:name="_Toc14818"/>
      <w:bookmarkStart w:id="42" w:name="_Toc17986"/>
      <w:bookmarkStart w:id="43" w:name="_Toc27237"/>
      <w:r>
        <w:rPr>
          <w:rFonts w:hint="eastAsia"/>
        </w:rPr>
        <w:t>前</w:t>
      </w:r>
      <w:bookmarkStart w:id="44" w:name="BKQY"/>
      <w:r>
        <w:t>  </w:t>
      </w:r>
      <w:r>
        <w:rPr>
          <w:rFonts w:hint="eastAsia"/>
        </w:rPr>
        <w:t>言</w:t>
      </w:r>
      <w:bookmarkEnd w:id="41"/>
      <w:bookmarkEnd w:id="42"/>
      <w:bookmarkEnd w:id="43"/>
      <w:bookmarkEnd w:id="44"/>
    </w:p>
    <w:p>
      <w:pPr>
        <w:pStyle w:val="232"/>
      </w:pPr>
      <w:r>
        <w:rPr>
          <w:rFonts w:hint="eastAsia"/>
        </w:rPr>
        <w:t>本文件根据GB/T 1.1-2020 《标准化工作导则 第1部分：标准化文件的结构和起草规则》的规定起草。</w:t>
      </w:r>
    </w:p>
    <w:p>
      <w:pPr>
        <w:pStyle w:val="232"/>
      </w:pPr>
      <w:r>
        <w:rPr>
          <w:rFonts w:hint="eastAsia"/>
        </w:rPr>
        <w:t>本文件由中华人民共和国商务部归口。</w:t>
      </w:r>
    </w:p>
    <w:p>
      <w:pPr>
        <w:pStyle w:val="232"/>
      </w:pPr>
      <w:r>
        <w:rPr>
          <w:rFonts w:hint="eastAsia"/>
        </w:rPr>
        <w:t>本文件起草单位：</w:t>
      </w:r>
    </w:p>
    <w:p>
      <w:pPr>
        <w:pStyle w:val="232"/>
      </w:pPr>
      <w:r>
        <w:rPr>
          <w:rFonts w:hint="eastAsia"/>
        </w:rPr>
        <w:t>本文件起草人：</w:t>
      </w:r>
    </w:p>
    <w:p>
      <w:pPr>
        <w:pStyle w:val="232"/>
      </w:pPr>
      <w:r>
        <w:rPr>
          <w:rFonts w:hint="eastAsia"/>
        </w:rPr>
        <w:t>本文件及其所代替文件的历次版本发布情况为：</w:t>
      </w:r>
    </w:p>
    <w:p>
      <w:pPr>
        <w:pStyle w:val="232"/>
      </w:pPr>
      <w:r>
        <w:rPr>
          <w:rFonts w:hint="eastAsia"/>
        </w:rPr>
        <w:t>——本次为第一次</w:t>
      </w:r>
      <w:r>
        <w:rPr>
          <w:rFonts w:hint="eastAsia"/>
          <w:lang w:val="en-US" w:eastAsia="zh-CN"/>
        </w:rPr>
        <w:t>制定</w:t>
      </w:r>
      <w:r>
        <w:rPr>
          <w:rFonts w:hint="eastAsia"/>
        </w:rPr>
        <w:t>。</w:t>
      </w:r>
    </w:p>
    <w:p>
      <w:pPr>
        <w:pStyle w:val="242"/>
        <w:ind w:left="168" w:hanging="168"/>
      </w:pPr>
      <w:bookmarkStart w:id="45" w:name="_Toc22130"/>
      <w:bookmarkStart w:id="46" w:name="_Toc5301"/>
      <w:bookmarkStart w:id="47" w:name="_Toc18881"/>
      <w:r>
        <w:rPr>
          <w:rFonts w:hint="eastAsia"/>
        </w:rPr>
        <w:t>引</w:t>
      </w:r>
      <w:bookmarkStart w:id="48" w:name="BKYY"/>
      <w:r>
        <w:rPr>
          <w:rFonts w:hAnsi="黑体"/>
        </w:rPr>
        <w:t>  </w:t>
      </w:r>
      <w:r>
        <w:rPr>
          <w:rFonts w:hint="eastAsia"/>
        </w:rPr>
        <w:t>言</w:t>
      </w:r>
      <w:bookmarkEnd w:id="45"/>
      <w:bookmarkEnd w:id="46"/>
      <w:bookmarkEnd w:id="47"/>
      <w:bookmarkEnd w:id="48"/>
    </w:p>
    <w:p>
      <w:pPr>
        <w:pStyle w:val="232"/>
        <w:sectPr>
          <w:headerReference r:id="rId8" w:type="default"/>
          <w:footerReference r:id="rId9" w:type="default"/>
          <w:pgSz w:w="11906" w:h="16838"/>
          <w:pgMar w:top="567" w:right="1134" w:bottom="1134" w:left="1418" w:header="1418" w:footer="1134" w:gutter="0"/>
          <w:pgNumType w:fmt="upperRoman" w:start="1"/>
          <w:cols w:space="425" w:num="1"/>
          <w:formProt w:val="0"/>
          <w:docGrid w:type="lines" w:linePitch="312" w:charSpace="0"/>
        </w:sectPr>
      </w:pPr>
      <w:r>
        <w:rPr>
          <w:rFonts w:hint="eastAsia"/>
        </w:rPr>
        <w:t>二手车出口有利于加快国内二手车流通，</w:t>
      </w:r>
      <w:r>
        <w:rPr>
          <w:rFonts w:hint="eastAsia"/>
          <w:lang w:val="en-US" w:eastAsia="zh-CN"/>
        </w:rPr>
        <w:t>推动汽车消费升级</w:t>
      </w:r>
      <w:r>
        <w:rPr>
          <w:rFonts w:hint="eastAsia"/>
        </w:rPr>
        <w:t>，促进对外贸易发展。为</w:t>
      </w:r>
      <w:r>
        <w:rPr>
          <w:rFonts w:hint="eastAsia"/>
          <w:lang w:val="en-US" w:eastAsia="zh-CN"/>
        </w:rPr>
        <w:t>有序推进</w:t>
      </w:r>
      <w:r>
        <w:rPr>
          <w:rFonts w:hint="eastAsia"/>
        </w:rPr>
        <w:t>二手乘用车出口，保障出口二手乘用车质量和安全性能，预防和减少道路交通事故，制定本标准。</w:t>
      </w: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sdt>
      <w:sdtPr>
        <w:tag w:val="NEW_STAND_NAME"/>
        <w:id w:val="595910757"/>
        <w:lock w:val="sdtLocked"/>
        <w:placeholder>
          <w:docPart w:val="{e68e9925-405c-4c99-b689-fcf043836742}"/>
        </w:placeholder>
      </w:sdtPr>
      <w:sdtContent>
        <w:p>
          <w:pPr>
            <w:pStyle w:val="178"/>
            <w:spacing w:before="567" w:beforeLines="182" w:after="686" w:afterLines="220"/>
          </w:pPr>
          <w:bookmarkStart w:id="49" w:name="NEW_STAND_NAME"/>
          <w:r>
            <w:rPr>
              <w:rFonts w:hint="eastAsia"/>
            </w:rPr>
            <w:t>二手乘用车出口</w:t>
          </w:r>
          <w:r>
            <w:rPr>
              <w:rFonts w:hint="eastAsia"/>
              <w:lang w:val="en-US" w:eastAsia="zh-CN"/>
            </w:rPr>
            <w:t>质量标准</w:t>
          </w:r>
        </w:p>
      </w:sdtContent>
    </w:sdt>
    <w:bookmarkEnd w:id="49"/>
    <w:p>
      <w:pPr>
        <w:pStyle w:val="105"/>
        <w:spacing w:before="312" w:after="312"/>
      </w:pPr>
      <w:bookmarkStart w:id="50" w:name="_Toc26648465"/>
      <w:bookmarkStart w:id="51" w:name="_Toc26986771"/>
      <w:bookmarkStart w:id="52" w:name="_Toc26718930"/>
      <w:bookmarkStart w:id="53" w:name="_Toc24884211"/>
      <w:bookmarkStart w:id="54" w:name="_Toc14141"/>
      <w:bookmarkStart w:id="55" w:name="_Toc13806"/>
      <w:bookmarkStart w:id="56" w:name="_Toc17233325"/>
      <w:bookmarkStart w:id="57" w:name="_Toc26986530"/>
      <w:bookmarkStart w:id="58" w:name="_Toc32730"/>
      <w:bookmarkStart w:id="59" w:name="_Toc17233333"/>
      <w:bookmarkStart w:id="60" w:name="_Toc24884218"/>
      <w:r>
        <w:rPr>
          <w:rFonts w:hint="eastAsia"/>
        </w:rPr>
        <w:t>范围</w:t>
      </w:r>
      <w:bookmarkEnd w:id="50"/>
      <w:bookmarkEnd w:id="51"/>
      <w:bookmarkEnd w:id="52"/>
      <w:bookmarkEnd w:id="53"/>
      <w:bookmarkEnd w:id="54"/>
      <w:bookmarkEnd w:id="55"/>
      <w:bookmarkEnd w:id="56"/>
      <w:bookmarkEnd w:id="57"/>
      <w:bookmarkEnd w:id="58"/>
      <w:bookmarkEnd w:id="59"/>
      <w:bookmarkEnd w:id="60"/>
    </w:p>
    <w:p>
      <w:pPr>
        <w:pStyle w:val="57"/>
        <w:ind w:firstLine="420"/>
        <w:rPr>
          <w:rFonts w:hint="eastAsia"/>
        </w:rPr>
      </w:pPr>
      <w:bookmarkStart w:id="61" w:name="_Toc17233334"/>
      <w:bookmarkStart w:id="62" w:name="_Toc26648466"/>
      <w:bookmarkStart w:id="63" w:name="_Toc24884212"/>
      <w:bookmarkStart w:id="64" w:name="_Toc24884219"/>
      <w:bookmarkStart w:id="65" w:name="_Toc17233326"/>
      <w:r>
        <w:rPr>
          <w:rFonts w:hint="eastAsia"/>
        </w:rPr>
        <w:t>本标准规定了出口二手乘用车</w:t>
      </w:r>
      <w:r>
        <w:rPr>
          <w:rFonts w:hint="eastAsia"/>
          <w:lang w:val="en-US" w:eastAsia="zh-CN"/>
        </w:rPr>
        <w:t>的质量要求、流程及注意事项</w:t>
      </w:r>
      <w:r>
        <w:rPr>
          <w:rFonts w:hint="eastAsia"/>
        </w:rPr>
        <w:t>。</w:t>
      </w:r>
    </w:p>
    <w:p>
      <w:pPr>
        <w:pStyle w:val="57"/>
        <w:ind w:firstLine="420"/>
      </w:pPr>
      <w:r>
        <w:rPr>
          <w:rFonts w:hint="eastAsia"/>
        </w:rPr>
        <w:t>本标准适用于出口</w:t>
      </w:r>
      <w:r>
        <w:rPr>
          <w:rFonts w:hint="eastAsia"/>
          <w:lang w:val="en-US" w:eastAsia="zh-CN"/>
        </w:rPr>
        <w:t>的</w:t>
      </w:r>
      <w:r>
        <w:rPr>
          <w:rFonts w:hint="eastAsia"/>
        </w:rPr>
        <w:t>二手乘用车。</w:t>
      </w:r>
    </w:p>
    <w:p>
      <w:pPr>
        <w:pStyle w:val="105"/>
        <w:spacing w:before="312" w:after="312"/>
      </w:pPr>
      <w:bookmarkStart w:id="66" w:name="_Toc20386"/>
      <w:bookmarkStart w:id="67" w:name="_Toc26986531"/>
      <w:bookmarkStart w:id="68" w:name="_Toc26718931"/>
      <w:bookmarkStart w:id="69" w:name="_Toc26986772"/>
      <w:bookmarkStart w:id="70" w:name="_Toc10816"/>
      <w:bookmarkStart w:id="71" w:name="_Toc21233"/>
      <w:r>
        <w:rPr>
          <w:rFonts w:hint="eastAsia"/>
        </w:rPr>
        <w:t>规范性引用文件</w:t>
      </w:r>
      <w:bookmarkEnd w:id="61"/>
      <w:bookmarkEnd w:id="62"/>
      <w:bookmarkEnd w:id="63"/>
      <w:bookmarkEnd w:id="64"/>
      <w:bookmarkEnd w:id="65"/>
      <w:bookmarkEnd w:id="66"/>
      <w:bookmarkEnd w:id="67"/>
      <w:bookmarkEnd w:id="68"/>
      <w:bookmarkEnd w:id="69"/>
      <w:bookmarkEnd w:id="70"/>
      <w:bookmarkEnd w:id="71"/>
    </w:p>
    <w:sdt>
      <w:sdtPr>
        <w:rPr>
          <w:rFonts w:hint="eastAsia"/>
        </w:rPr>
        <w:id w:val="715848253"/>
        <w:placeholder>
          <w:docPart w:val="{d9ea4fdd-0485-4fbb-9e56-8ab6a02f058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hint="eastAsia"/>
        </w:rPr>
      </w:pPr>
      <w:r>
        <w:rPr>
          <w:rFonts w:hint="eastAsia"/>
        </w:rPr>
        <w:t>GB/T 3730.1  汽车和挂车类型的术语和定义</w:t>
      </w:r>
    </w:p>
    <w:p>
      <w:pPr>
        <w:pStyle w:val="57"/>
        <w:ind w:firstLine="420"/>
        <w:rPr>
          <w:rFonts w:hint="default"/>
          <w:lang w:val="en-US"/>
        </w:rPr>
      </w:pPr>
      <w:r>
        <w:rPr>
          <w:rFonts w:hint="eastAsia" w:ascii="宋体" w:hAnsi="宋体" w:eastAsia="宋体" w:cs="宋体"/>
        </w:rPr>
        <w:t xml:space="preserve">GB </w:t>
      </w:r>
      <w:r>
        <w:rPr>
          <w:rFonts w:hint="eastAsia" w:ascii="宋体" w:hAnsi="宋体" w:eastAsia="宋体" w:cs="宋体"/>
          <w:lang w:val="en-US" w:eastAsia="zh-CN"/>
        </w:rPr>
        <w:t>39800</w:t>
      </w:r>
      <w:r>
        <w:rPr>
          <w:rFonts w:hint="eastAsia" w:ascii="宋体" w:hAnsi="宋体" w:eastAsia="宋体" w:cs="宋体"/>
        </w:rPr>
        <w:t>—20</w:t>
      </w:r>
      <w:r>
        <w:rPr>
          <w:rFonts w:hint="eastAsia" w:ascii="宋体" w:hAnsi="宋体" w:eastAsia="宋体" w:cs="宋体"/>
          <w:lang w:val="en-US" w:eastAsia="zh-CN"/>
        </w:rPr>
        <w:t>20</w:t>
      </w:r>
      <w:r>
        <w:rPr>
          <w:rFonts w:hint="eastAsia" w:hAnsi="宋体" w:cs="宋体"/>
          <w:lang w:val="en-US" w:eastAsia="zh-CN"/>
        </w:rPr>
        <w:t xml:space="preserve">  机动车安全技术检验项目和方法</w:t>
      </w:r>
    </w:p>
    <w:p>
      <w:pPr>
        <w:pStyle w:val="245"/>
      </w:pPr>
      <w:bookmarkStart w:id="72" w:name="_Toc2339162"/>
      <w:bookmarkEnd w:id="72"/>
      <w:bookmarkStart w:id="73" w:name="_Toc227733382"/>
      <w:bookmarkStart w:id="74" w:name="_Toc527550904"/>
      <w:bookmarkStart w:id="75" w:name="_Toc11922"/>
      <w:bookmarkStart w:id="76" w:name="_Toc293052515"/>
      <w:bookmarkStart w:id="77" w:name="_Toc227666289"/>
      <w:bookmarkStart w:id="78" w:name="_Toc24844"/>
      <w:bookmarkStart w:id="79" w:name="_Toc527548839"/>
      <w:bookmarkStart w:id="80" w:name="_Toc255924876"/>
      <w:bookmarkStart w:id="81" w:name="_Toc227666331"/>
      <w:bookmarkStart w:id="82" w:name="_Toc527550808"/>
      <w:bookmarkStart w:id="83" w:name="_Toc11750608"/>
      <w:bookmarkStart w:id="84" w:name="_Toc23530"/>
      <w:bookmarkStart w:id="85" w:name="_Toc231976052"/>
      <w:bookmarkStart w:id="86" w:name="_Toc28010"/>
      <w:r>
        <w:t>术语和定义</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232"/>
        <w:rPr>
          <w:rFonts w:cs="Times New Roman"/>
          <w:szCs w:val="20"/>
        </w:rPr>
      </w:pPr>
      <w:r>
        <w:rPr>
          <w:rFonts w:cs="Times New Roman"/>
        </w:rPr>
        <w:t>GB/T 3730.1界定的以及</w:t>
      </w:r>
      <w:r>
        <w:rPr>
          <w:rFonts w:cs="Times New Roman"/>
          <w:szCs w:val="20"/>
        </w:rPr>
        <w:t>下列术语和定义适用于本文件。</w:t>
      </w:r>
    </w:p>
    <w:p>
      <w:pPr>
        <w:pStyle w:val="246"/>
        <w:keepNext w:val="0"/>
        <w:keepLines w:val="0"/>
        <w:pageBreakBefore w:val="0"/>
        <w:widowControl/>
        <w:kinsoku/>
        <w:wordWrap/>
        <w:overflowPunct/>
        <w:topLinePunct w:val="0"/>
        <w:autoSpaceDE/>
        <w:autoSpaceDN/>
        <w:bidi w:val="0"/>
        <w:adjustRightInd/>
        <w:snapToGrid/>
        <w:spacing w:before="0" w:beforeLines="0" w:after="0" w:afterLines="0"/>
        <w:textAlignment w:val="auto"/>
      </w:pPr>
      <w:bookmarkStart w:id="87" w:name="_Toc14403"/>
      <w:bookmarkEnd w:id="87"/>
      <w:bookmarkStart w:id="88" w:name="_Toc11750609"/>
      <w:bookmarkEnd w:id="88"/>
      <w:bookmarkStart w:id="89" w:name="_Toc11423174"/>
      <w:bookmarkEnd w:id="89"/>
      <w:bookmarkStart w:id="90" w:name="_Toc11677691"/>
      <w:bookmarkEnd w:id="90"/>
      <w:bookmarkStart w:id="91" w:name="_Toc11323587"/>
      <w:bookmarkEnd w:id="91"/>
      <w:bookmarkStart w:id="92" w:name="_Toc11324172"/>
      <w:bookmarkEnd w:id="92"/>
      <w:bookmarkStart w:id="93" w:name="_Toc11498812"/>
      <w:bookmarkEnd w:id="93"/>
      <w:bookmarkStart w:id="94" w:name="_Toc533695418"/>
      <w:bookmarkStart w:id="95" w:name="_Toc533605253"/>
      <w:bookmarkStart w:id="96" w:name="_Toc1574027"/>
      <w:bookmarkStart w:id="97" w:name="_Toc3136164"/>
      <w:bookmarkStart w:id="98" w:name="_Toc534270997"/>
      <w:bookmarkStart w:id="99" w:name="_Toc9354600"/>
      <w:bookmarkStart w:id="100" w:name="_Toc535908857"/>
      <w:bookmarkStart w:id="101" w:name="_Toc2339164"/>
      <w:bookmarkStart w:id="102" w:name="_Toc10018586"/>
    </w:p>
    <w:p>
      <w:pPr>
        <w:pStyle w:val="233"/>
        <w:keepNext w:val="0"/>
        <w:keepLines w:val="0"/>
        <w:pageBreakBefore w:val="0"/>
        <w:widowControl/>
        <w:numPr>
          <w:ilvl w:val="0"/>
          <w:numId w:val="0"/>
        </w:numPr>
        <w:kinsoku/>
        <w:wordWrap/>
        <w:overflowPunct/>
        <w:topLinePunct w:val="0"/>
        <w:bidi w:val="0"/>
        <w:adjustRightInd/>
        <w:snapToGrid/>
        <w:spacing w:before="0" w:beforeLines="0" w:after="0" w:afterLines="0"/>
        <w:ind w:firstLine="420" w:firstLineChars="200"/>
        <w:textAlignment w:val="auto"/>
        <w:rPr>
          <w:rFonts w:ascii="黑体" w:hAnsi="黑体"/>
        </w:rPr>
      </w:pPr>
      <w:r>
        <w:rPr>
          <w:rFonts w:hint="eastAsia" w:ascii="黑体" w:hAnsi="黑体"/>
        </w:rPr>
        <w:t>二手乘用车</w:t>
      </w:r>
      <w:bookmarkEnd w:id="94"/>
      <w:bookmarkEnd w:id="95"/>
      <w:r>
        <w:rPr>
          <w:rFonts w:hint="eastAsia" w:ascii="黑体" w:hAnsi="黑体"/>
        </w:rPr>
        <w:t xml:space="preserve"> used passenger </w:t>
      </w:r>
      <w:bookmarkEnd w:id="96"/>
      <w:bookmarkEnd w:id="97"/>
      <w:bookmarkEnd w:id="98"/>
      <w:bookmarkEnd w:id="99"/>
      <w:bookmarkEnd w:id="100"/>
      <w:bookmarkEnd w:id="101"/>
      <w:bookmarkEnd w:id="102"/>
      <w:r>
        <w:rPr>
          <w:rFonts w:hint="eastAsia" w:ascii="黑体" w:hAnsi="黑体"/>
        </w:rPr>
        <w:t>car</w:t>
      </w:r>
    </w:p>
    <w:p>
      <w:pPr>
        <w:pStyle w:val="244"/>
        <w:keepNext w:val="0"/>
        <w:keepLines w:val="0"/>
        <w:pageBreakBefore w:val="0"/>
        <w:widowControl/>
        <w:kinsoku/>
        <w:wordWrap/>
        <w:overflowPunct/>
        <w:topLinePunct w:val="0"/>
        <w:bidi w:val="0"/>
        <w:adjustRightInd/>
        <w:snapToGrid/>
        <w:textAlignment w:val="auto"/>
      </w:pPr>
      <w:bookmarkStart w:id="103" w:name="#go2"/>
      <w:r>
        <w:t>从办理完注册登记手续到达到国家强制报废标准之前</w:t>
      </w:r>
      <w:r>
        <w:rPr>
          <w:rFonts w:hint="eastAsia"/>
        </w:rPr>
        <w:t>进行交易并转移所有权</w:t>
      </w:r>
      <w:r>
        <w:t>的乘用车。</w:t>
      </w:r>
      <w:bookmarkEnd w:id="103"/>
    </w:p>
    <w:p>
      <w:pPr>
        <w:pStyle w:val="246"/>
        <w:keepNext w:val="0"/>
        <w:keepLines w:val="0"/>
        <w:pageBreakBefore w:val="0"/>
        <w:widowControl/>
        <w:kinsoku/>
        <w:wordWrap/>
        <w:overflowPunct/>
        <w:topLinePunct w:val="0"/>
        <w:bidi w:val="0"/>
        <w:adjustRightInd/>
        <w:snapToGrid/>
        <w:spacing w:before="0" w:beforeLines="0" w:after="0" w:afterLines="0"/>
        <w:textAlignment w:val="auto"/>
      </w:pPr>
      <w:bookmarkStart w:id="104" w:name="_Toc11324173"/>
      <w:bookmarkEnd w:id="104"/>
      <w:bookmarkStart w:id="105" w:name="_Toc11750610"/>
      <w:bookmarkEnd w:id="105"/>
      <w:bookmarkStart w:id="106" w:name="_Toc11677692"/>
      <w:bookmarkEnd w:id="106"/>
      <w:bookmarkStart w:id="107" w:name="_Toc11423175"/>
      <w:bookmarkEnd w:id="107"/>
      <w:bookmarkStart w:id="108" w:name="_Toc11323588"/>
      <w:bookmarkEnd w:id="108"/>
      <w:bookmarkStart w:id="109" w:name="_Toc11498813"/>
      <w:bookmarkEnd w:id="109"/>
      <w:bookmarkStart w:id="110" w:name="_Toc25143"/>
      <w:bookmarkEnd w:id="110"/>
      <w:bookmarkStart w:id="111" w:name="_Toc533605254"/>
      <w:bookmarkStart w:id="112" w:name="_Toc533695419"/>
      <w:bookmarkStart w:id="113" w:name="_Toc534270998"/>
      <w:bookmarkStart w:id="114" w:name="_Toc3136165"/>
      <w:bookmarkStart w:id="115" w:name="_Toc2339165"/>
      <w:bookmarkStart w:id="116" w:name="_Toc535908858"/>
      <w:bookmarkStart w:id="117" w:name="_Toc10018587"/>
      <w:bookmarkStart w:id="118" w:name="_Toc9354601"/>
      <w:bookmarkStart w:id="119" w:name="_Toc1574028"/>
    </w:p>
    <w:p>
      <w:pPr>
        <w:pStyle w:val="233"/>
        <w:keepNext w:val="0"/>
        <w:keepLines w:val="0"/>
        <w:pageBreakBefore w:val="0"/>
        <w:widowControl/>
        <w:numPr>
          <w:ilvl w:val="0"/>
          <w:numId w:val="0"/>
        </w:numPr>
        <w:kinsoku/>
        <w:wordWrap/>
        <w:overflowPunct/>
        <w:topLinePunct w:val="0"/>
        <w:bidi w:val="0"/>
        <w:adjustRightInd/>
        <w:snapToGrid/>
        <w:spacing w:before="0" w:beforeLines="0" w:after="0" w:afterLines="0"/>
        <w:ind w:firstLine="420" w:firstLineChars="200"/>
        <w:textAlignment w:val="auto"/>
        <w:rPr>
          <w:rFonts w:ascii="黑体" w:hAnsi="黑体"/>
        </w:rPr>
      </w:pPr>
      <w:r>
        <w:rPr>
          <w:rFonts w:hint="eastAsia" w:ascii="黑体" w:hAnsi="黑体"/>
        </w:rPr>
        <w:t>重大事故车</w:t>
      </w:r>
      <w:bookmarkEnd w:id="111"/>
      <w:bookmarkEnd w:id="112"/>
      <w:r>
        <w:rPr>
          <w:rFonts w:hint="eastAsia" w:ascii="黑体" w:hAnsi="黑体"/>
        </w:rPr>
        <w:t xml:space="preserve"> major accident vehicle</w:t>
      </w:r>
      <w:bookmarkEnd w:id="113"/>
      <w:bookmarkEnd w:id="114"/>
      <w:bookmarkEnd w:id="115"/>
      <w:bookmarkEnd w:id="116"/>
      <w:bookmarkEnd w:id="117"/>
      <w:bookmarkEnd w:id="118"/>
      <w:bookmarkEnd w:id="119"/>
    </w:p>
    <w:p>
      <w:pPr>
        <w:pStyle w:val="244"/>
        <w:keepNext w:val="0"/>
        <w:keepLines w:val="0"/>
        <w:pageBreakBefore w:val="0"/>
        <w:widowControl/>
        <w:kinsoku/>
        <w:wordWrap/>
        <w:overflowPunct/>
        <w:topLinePunct w:val="0"/>
        <w:bidi w:val="0"/>
        <w:adjustRightInd/>
        <w:snapToGrid/>
        <w:textAlignment w:val="auto"/>
      </w:pPr>
      <w:r>
        <w:rPr>
          <w:rFonts w:hint="eastAsia"/>
        </w:rPr>
        <w:t>经严重撞击造成车辆结构性损伤以及发生泡水、火烧等事故，即使修复仍存在安全隐患的车辆</w:t>
      </w:r>
      <w:r>
        <w:t>。</w:t>
      </w:r>
    </w:p>
    <w:p>
      <w:pPr>
        <w:pStyle w:val="246"/>
        <w:keepNext w:val="0"/>
        <w:keepLines w:val="0"/>
        <w:pageBreakBefore w:val="0"/>
        <w:widowControl/>
        <w:kinsoku/>
        <w:wordWrap/>
        <w:overflowPunct/>
        <w:topLinePunct w:val="0"/>
        <w:bidi w:val="0"/>
        <w:adjustRightInd/>
        <w:snapToGrid/>
        <w:spacing w:before="0" w:beforeLines="0" w:after="0" w:afterLines="0"/>
        <w:textAlignment w:val="auto"/>
      </w:pPr>
      <w:bookmarkStart w:id="120" w:name="_Toc11677693"/>
      <w:bookmarkEnd w:id="120"/>
      <w:bookmarkStart w:id="121" w:name="_Toc11423176"/>
      <w:bookmarkEnd w:id="121"/>
      <w:bookmarkStart w:id="122" w:name="_Toc30990"/>
      <w:bookmarkEnd w:id="122"/>
      <w:bookmarkStart w:id="123" w:name="_Toc11498814"/>
      <w:bookmarkEnd w:id="123"/>
      <w:bookmarkStart w:id="124" w:name="_Toc11324174"/>
      <w:bookmarkEnd w:id="124"/>
      <w:bookmarkStart w:id="125" w:name="_Toc11750611"/>
      <w:bookmarkEnd w:id="125"/>
      <w:bookmarkStart w:id="126" w:name="_Toc11323589"/>
      <w:bookmarkEnd w:id="126"/>
      <w:bookmarkStart w:id="127" w:name="_Toc10018588"/>
      <w:bookmarkStart w:id="128" w:name="_Toc2339166"/>
      <w:bookmarkStart w:id="129" w:name="_Toc534270999"/>
      <w:bookmarkStart w:id="130" w:name="_Toc533605255"/>
      <w:bookmarkStart w:id="131" w:name="_Toc533695420"/>
      <w:bookmarkStart w:id="132" w:name="_Toc1574029"/>
      <w:bookmarkStart w:id="133" w:name="_Toc9354602"/>
      <w:bookmarkStart w:id="134" w:name="_Toc535908859"/>
      <w:bookmarkStart w:id="135" w:name="_Toc3136166"/>
    </w:p>
    <w:p>
      <w:pPr>
        <w:pStyle w:val="233"/>
        <w:keepNext w:val="0"/>
        <w:keepLines w:val="0"/>
        <w:pageBreakBefore w:val="0"/>
        <w:widowControl/>
        <w:numPr>
          <w:ilvl w:val="0"/>
          <w:numId w:val="0"/>
        </w:numPr>
        <w:kinsoku/>
        <w:wordWrap/>
        <w:overflowPunct/>
        <w:topLinePunct w:val="0"/>
        <w:bidi w:val="0"/>
        <w:adjustRightInd/>
        <w:snapToGrid/>
        <w:spacing w:before="0" w:beforeLines="0" w:after="0" w:afterLines="0"/>
        <w:ind w:firstLine="420" w:firstLineChars="200"/>
        <w:textAlignment w:val="auto"/>
        <w:rPr>
          <w:rFonts w:ascii="黑体" w:hAnsi="黑体"/>
        </w:rPr>
      </w:pPr>
      <w:r>
        <w:rPr>
          <w:rFonts w:hint="eastAsia" w:ascii="黑体" w:hAnsi="黑体"/>
        </w:rPr>
        <w:t>漏油（液） oil(liquid) leakage</w:t>
      </w:r>
    </w:p>
    <w:p>
      <w:pPr>
        <w:pStyle w:val="244"/>
        <w:keepNext w:val="0"/>
        <w:keepLines w:val="0"/>
        <w:pageBreakBefore w:val="0"/>
        <w:widowControl/>
        <w:kinsoku/>
        <w:wordWrap/>
        <w:overflowPunct/>
        <w:topLinePunct w:val="0"/>
        <w:bidi w:val="0"/>
        <w:adjustRightInd/>
        <w:snapToGrid/>
        <w:textAlignment w:val="auto"/>
      </w:pPr>
      <w:r>
        <w:rPr>
          <w:rFonts w:hint="eastAsia"/>
        </w:rPr>
        <w:t>部件表面有明显油（液）渍且形成油（液）滴状。</w:t>
      </w:r>
    </w:p>
    <w:bookmarkEnd w:id="127"/>
    <w:bookmarkEnd w:id="128"/>
    <w:bookmarkEnd w:id="129"/>
    <w:bookmarkEnd w:id="130"/>
    <w:bookmarkEnd w:id="131"/>
    <w:bookmarkEnd w:id="132"/>
    <w:bookmarkEnd w:id="133"/>
    <w:bookmarkEnd w:id="134"/>
    <w:bookmarkEnd w:id="135"/>
    <w:p>
      <w:pPr>
        <w:pStyle w:val="245"/>
      </w:pPr>
      <w:bookmarkStart w:id="136" w:name="_Toc11498817"/>
      <w:bookmarkEnd w:id="136"/>
      <w:bookmarkStart w:id="137" w:name="_Toc11423179"/>
      <w:bookmarkEnd w:id="137"/>
      <w:bookmarkStart w:id="138" w:name="_Toc11324177"/>
      <w:bookmarkEnd w:id="138"/>
      <w:bookmarkStart w:id="139" w:name="_Toc11677696"/>
      <w:bookmarkEnd w:id="139"/>
      <w:bookmarkStart w:id="140" w:name="_Toc11323592"/>
      <w:bookmarkEnd w:id="140"/>
      <w:bookmarkStart w:id="141" w:name="_Toc25006"/>
      <w:bookmarkEnd w:id="141"/>
      <w:bookmarkStart w:id="142" w:name="_Toc11750614"/>
      <w:bookmarkEnd w:id="142"/>
      <w:bookmarkStart w:id="143" w:name="_Toc1592"/>
      <w:bookmarkStart w:id="144" w:name="_Toc10752"/>
      <w:bookmarkStart w:id="145" w:name="_Toc527548840"/>
      <w:bookmarkStart w:id="146" w:name="_Toc11750615"/>
      <w:bookmarkStart w:id="147" w:name="_Toc527550905"/>
      <w:bookmarkStart w:id="148" w:name="_Toc27849"/>
      <w:bookmarkStart w:id="149" w:name="_Toc24857"/>
      <w:bookmarkStart w:id="150" w:name="_Toc527550809"/>
      <w:r>
        <w:rPr>
          <w:rFonts w:hint="default"/>
          <w:lang w:val="en-US" w:eastAsia="zh-CN"/>
        </w:rPr>
        <w:t>质量要求</w:t>
      </w:r>
      <w:bookmarkEnd w:id="143"/>
      <w:bookmarkEnd w:id="144"/>
    </w:p>
    <w:p>
      <w:pPr>
        <w:pStyle w:val="246"/>
        <w:spacing w:before="157" w:beforeLines="50" w:after="157" w:afterLines="50"/>
      </w:pPr>
      <w:r>
        <w:t>车辆及证件信息</w:t>
      </w:r>
    </w:p>
    <w:p>
      <w:pPr>
        <w:pStyle w:val="66"/>
        <w:widowControl w:val="0"/>
        <w:spacing w:before="0" w:beforeLines="0" w:after="0" w:afterLines="0"/>
        <w:rPr>
          <w:rFonts w:hint="eastAsia" w:ascii="宋体" w:hAnsi="宋体" w:eastAsia="宋体" w:cs="宋体"/>
        </w:rPr>
      </w:pPr>
      <w:r>
        <w:rPr>
          <w:rFonts w:hint="eastAsia" w:ascii="宋体" w:hAnsi="宋体" w:eastAsia="宋体" w:cs="宋体"/>
          <w:lang w:val="en-US" w:eastAsia="zh-CN"/>
        </w:rPr>
        <w:t>车辆应未</w:t>
      </w:r>
      <w:r>
        <w:rPr>
          <w:rFonts w:hint="eastAsia" w:ascii="宋体" w:hAnsi="宋体" w:eastAsia="宋体" w:cs="宋体"/>
        </w:rPr>
        <w:t>达到国家有关机动车强制报废规定要求，</w:t>
      </w:r>
      <w:r>
        <w:rPr>
          <w:rFonts w:hint="eastAsia" w:ascii="宋体" w:hAnsi="宋体" w:eastAsia="宋体" w:cs="宋体"/>
          <w:lang w:val="en-US" w:eastAsia="zh-CN"/>
        </w:rPr>
        <w:t>且</w:t>
      </w:r>
      <w:r>
        <w:rPr>
          <w:rFonts w:hint="eastAsia" w:ascii="宋体" w:hAnsi="宋体" w:eastAsia="宋体" w:cs="宋体"/>
        </w:rPr>
        <w:t>距规定要求使用年限1年</w:t>
      </w:r>
      <w:r>
        <w:rPr>
          <w:rFonts w:hint="eastAsia" w:ascii="宋体" w:hAnsi="宋体" w:eastAsia="宋体" w:cs="宋体"/>
          <w:lang w:val="en-US" w:eastAsia="zh-CN"/>
        </w:rPr>
        <w:t>以上</w:t>
      </w:r>
      <w:r>
        <w:rPr>
          <w:rFonts w:hint="eastAsia" w:ascii="宋体" w:hAnsi="宋体" w:eastAsia="宋体" w:cs="宋体"/>
        </w:rPr>
        <w:t>（</w:t>
      </w:r>
      <w:r>
        <w:rPr>
          <w:rFonts w:hint="eastAsia" w:ascii="宋体" w:hAnsi="宋体" w:eastAsia="宋体" w:cs="宋体"/>
          <w:lang w:val="en-US" w:eastAsia="zh-CN"/>
        </w:rPr>
        <w:t>不</w:t>
      </w:r>
      <w:r>
        <w:rPr>
          <w:rFonts w:hint="eastAsia" w:ascii="宋体" w:hAnsi="宋体" w:eastAsia="宋体" w:cs="宋体"/>
        </w:rPr>
        <w:t>含1年）</w:t>
      </w:r>
      <w:r>
        <w:rPr>
          <w:rFonts w:hint="eastAsia" w:ascii="宋体" w:hAnsi="宋体" w:eastAsia="宋体" w:cs="宋体"/>
          <w:lang w:eastAsia="zh-CN"/>
        </w:rPr>
        <w:t>。</w:t>
      </w:r>
    </w:p>
    <w:p>
      <w:pPr>
        <w:pStyle w:val="66"/>
        <w:widowControl w:val="0"/>
        <w:spacing w:before="0" w:beforeLines="0" w:after="0" w:afterLines="0"/>
        <w:rPr>
          <w:rFonts w:hint="eastAsia" w:ascii="宋体" w:hAnsi="宋体" w:eastAsia="宋体" w:cs="宋体"/>
        </w:rPr>
      </w:pPr>
      <w:r>
        <w:rPr>
          <w:rFonts w:hint="eastAsia" w:ascii="宋体" w:hAnsi="宋体" w:eastAsia="宋体" w:cs="宋体"/>
        </w:rPr>
        <w:t>车辆识别代号</w:t>
      </w:r>
      <w:r>
        <w:rPr>
          <w:rFonts w:hint="eastAsia" w:ascii="宋体" w:hAnsi="宋体" w:eastAsia="宋体" w:cs="宋体"/>
          <w:lang w:val="en-US" w:eastAsia="zh-CN"/>
        </w:rPr>
        <w:t>应</w:t>
      </w:r>
      <w:r>
        <w:rPr>
          <w:rFonts w:hint="eastAsia" w:ascii="宋体" w:hAnsi="宋体" w:eastAsia="宋体" w:cs="宋体"/>
        </w:rPr>
        <w:t>与机动车行驶证（或临时行驶车号牌）和机动车登记证书签注的内容一致，</w:t>
      </w:r>
      <w:r>
        <w:rPr>
          <w:rFonts w:hint="eastAsia" w:ascii="宋体" w:hAnsi="宋体" w:eastAsia="宋体" w:cs="宋体"/>
          <w:lang w:val="en-US" w:eastAsia="zh-CN"/>
        </w:rPr>
        <w:t>且</w:t>
      </w:r>
      <w:r>
        <w:rPr>
          <w:rFonts w:hint="eastAsia" w:ascii="宋体" w:hAnsi="宋体" w:eastAsia="宋体" w:cs="宋体"/>
        </w:rPr>
        <w:t>打刻的车辆识别代号</w:t>
      </w:r>
      <w:r>
        <w:rPr>
          <w:rFonts w:hint="eastAsia" w:ascii="宋体" w:hAnsi="宋体" w:eastAsia="宋体" w:cs="宋体"/>
          <w:lang w:val="en-US" w:eastAsia="zh-CN"/>
        </w:rPr>
        <w:t>无</w:t>
      </w:r>
      <w:r>
        <w:rPr>
          <w:rFonts w:hint="eastAsia" w:ascii="宋体" w:hAnsi="宋体" w:eastAsia="宋体" w:cs="宋体"/>
        </w:rPr>
        <w:t>被凿改、挖补、打磨、垫片、重新涂漆（设计和制造上为保护打刻的车辆识别代号而采取涂漆工艺的情形除外）、擅自重新打刻等现象</w:t>
      </w:r>
      <w:r>
        <w:rPr>
          <w:rFonts w:hint="eastAsia" w:ascii="宋体" w:hAnsi="宋体" w:eastAsia="宋体" w:cs="宋体"/>
          <w:lang w:eastAsia="zh-CN"/>
        </w:rPr>
        <w:t>。</w:t>
      </w:r>
    </w:p>
    <w:p>
      <w:pPr>
        <w:pStyle w:val="66"/>
        <w:widowControl w:val="0"/>
        <w:spacing w:before="0" w:beforeLines="0" w:after="0" w:afterLines="0"/>
        <w:rPr>
          <w:rFonts w:hint="eastAsia" w:ascii="宋体" w:hAnsi="宋体" w:eastAsia="宋体" w:cs="宋体"/>
        </w:rPr>
      </w:pPr>
      <w:r>
        <w:rPr>
          <w:rFonts w:hint="eastAsia" w:ascii="宋体" w:hAnsi="宋体" w:eastAsia="宋体" w:cs="宋体"/>
        </w:rPr>
        <w:t>发动机</w:t>
      </w:r>
      <w:r>
        <w:rPr>
          <w:rFonts w:hint="eastAsia" w:ascii="宋体" w:hAnsi="宋体" w:eastAsia="宋体" w:cs="宋体"/>
          <w:lang w:val="en-US" w:eastAsia="zh-CN"/>
        </w:rPr>
        <w:t>/</w:t>
      </w:r>
      <w:r>
        <w:rPr>
          <w:rFonts w:hint="eastAsia" w:ascii="宋体" w:hAnsi="宋体" w:eastAsia="宋体" w:cs="宋体"/>
        </w:rPr>
        <w:t>驱动电机标识记载的内容或可见的发动机号</w:t>
      </w:r>
      <w:r>
        <w:rPr>
          <w:rFonts w:hint="eastAsia" w:ascii="宋体" w:hAnsi="宋体" w:eastAsia="宋体" w:cs="宋体"/>
          <w:lang w:val="en-US" w:eastAsia="zh-CN"/>
        </w:rPr>
        <w:t>/</w:t>
      </w:r>
      <w:r>
        <w:rPr>
          <w:rFonts w:hint="eastAsia" w:ascii="宋体" w:hAnsi="宋体" w:eastAsia="宋体" w:cs="宋体"/>
        </w:rPr>
        <w:t>驱动电机号码</w:t>
      </w:r>
      <w:r>
        <w:rPr>
          <w:rFonts w:hint="eastAsia" w:ascii="宋体" w:hAnsi="宋体" w:eastAsia="宋体" w:cs="宋体"/>
          <w:lang w:val="en-US" w:eastAsia="zh-CN"/>
        </w:rPr>
        <w:t>应</w:t>
      </w:r>
      <w:r>
        <w:rPr>
          <w:rFonts w:hint="eastAsia" w:ascii="宋体" w:hAnsi="宋体" w:eastAsia="宋体" w:cs="宋体"/>
        </w:rPr>
        <w:t>与机动车行驶证（或临时行驶车号牌）和机动车登记证书签注的内容一致</w:t>
      </w:r>
      <w:r>
        <w:rPr>
          <w:rFonts w:hint="eastAsia" w:ascii="宋体" w:hAnsi="宋体" w:eastAsia="宋体" w:cs="宋体"/>
          <w:lang w:eastAsia="zh-CN"/>
        </w:rPr>
        <w:t>。</w:t>
      </w:r>
    </w:p>
    <w:p>
      <w:pPr>
        <w:pStyle w:val="66"/>
        <w:widowControl w:val="0"/>
        <w:spacing w:before="0" w:beforeLines="0" w:after="0" w:afterLines="0"/>
        <w:rPr>
          <w:rFonts w:hint="eastAsia" w:ascii="宋体" w:hAnsi="宋体" w:eastAsia="宋体" w:cs="宋体"/>
        </w:rPr>
      </w:pPr>
      <w:r>
        <w:rPr>
          <w:rFonts w:hint="eastAsia" w:ascii="宋体" w:hAnsi="宋体" w:eastAsia="宋体" w:cs="宋体"/>
        </w:rPr>
        <w:t>车辆外形、座位数</w:t>
      </w:r>
      <w:r>
        <w:rPr>
          <w:rFonts w:hint="eastAsia" w:ascii="宋体" w:hAnsi="宋体" w:eastAsia="宋体" w:cs="宋体"/>
          <w:lang w:val="en-US" w:eastAsia="zh-CN"/>
        </w:rPr>
        <w:t>应</w:t>
      </w:r>
      <w:r>
        <w:rPr>
          <w:rFonts w:hint="eastAsia" w:ascii="宋体" w:hAnsi="宋体" w:eastAsia="宋体" w:cs="宋体"/>
        </w:rPr>
        <w:t>与机动车行驶证照片和机动车登记证书签注的内容一致，</w:t>
      </w:r>
      <w:r>
        <w:rPr>
          <w:rFonts w:hint="eastAsia" w:ascii="宋体" w:hAnsi="宋体" w:eastAsia="宋体" w:cs="宋体"/>
          <w:lang w:val="en-US" w:eastAsia="zh-CN"/>
        </w:rPr>
        <w:t>且不</w:t>
      </w:r>
      <w:r>
        <w:rPr>
          <w:rFonts w:hint="eastAsia" w:ascii="宋体" w:hAnsi="宋体" w:eastAsia="宋体" w:cs="宋体"/>
        </w:rPr>
        <w:t>存在改变车厢形状、车辆结构、座椅布置和固定方式等非法改装情形。</w:t>
      </w:r>
    </w:p>
    <w:p>
      <w:pPr>
        <w:pStyle w:val="246"/>
        <w:spacing w:before="157" w:beforeLines="50" w:after="157" w:afterLines="50"/>
      </w:pPr>
      <w:r>
        <w:rPr>
          <w:rFonts w:hint="eastAsia"/>
          <w:lang w:val="en-US" w:eastAsia="zh-CN"/>
        </w:rPr>
        <w:t>车辆事故</w:t>
      </w:r>
    </w:p>
    <w:p>
      <w:pPr>
        <w:pStyle w:val="66"/>
        <w:widowControl w:val="0"/>
        <w:spacing w:before="0" w:beforeLines="0" w:after="0" w:afterLines="0"/>
        <w:rPr>
          <w:rFonts w:hint="eastAsia" w:ascii="宋体" w:hAnsi="宋体" w:eastAsia="宋体" w:cs="宋体"/>
        </w:rPr>
      </w:pPr>
      <w:r>
        <w:rPr>
          <w:rFonts w:hint="eastAsia" w:ascii="宋体" w:hAnsi="宋体" w:eastAsia="宋体" w:cs="宋体"/>
        </w:rPr>
        <w:t>如图</w:t>
      </w:r>
      <w:r>
        <w:rPr>
          <w:rFonts w:hint="eastAsia" w:ascii="宋体" w:hAnsi="宋体" w:eastAsia="宋体" w:cs="宋体"/>
          <w:lang w:val="en-US" w:eastAsia="zh-CN"/>
        </w:rPr>
        <w:t>1</w:t>
      </w:r>
      <w:r>
        <w:rPr>
          <w:rFonts w:hint="eastAsia" w:ascii="宋体" w:hAnsi="宋体" w:eastAsia="宋体" w:cs="宋体"/>
        </w:rPr>
        <w:t>所示，车体结构</w:t>
      </w:r>
      <w:r>
        <w:rPr>
          <w:rFonts w:hint="eastAsia" w:ascii="宋体" w:hAnsi="宋体" w:eastAsia="宋体" w:cs="宋体"/>
          <w:lang w:val="en-US" w:eastAsia="zh-CN"/>
        </w:rPr>
        <w:t>应无</w:t>
      </w:r>
      <w:r>
        <w:rPr>
          <w:rFonts w:hint="eastAsia" w:ascii="宋体" w:hAnsi="宋体" w:eastAsia="宋体" w:cs="宋体"/>
        </w:rPr>
        <w:t>严重变形、切割、焊接等情况</w:t>
      </w:r>
      <w:r>
        <w:rPr>
          <w:rFonts w:hint="eastAsia" w:ascii="宋体" w:hAnsi="宋体" w:eastAsia="宋体" w:cs="宋体"/>
          <w:lang w:eastAsia="zh-CN"/>
        </w:rPr>
        <w:t>。</w:t>
      </w:r>
    </w:p>
    <w:p>
      <w:pPr>
        <w:pStyle w:val="244"/>
        <w:ind w:firstLine="0" w:firstLineChars="0"/>
        <w:jc w:val="center"/>
      </w:pPr>
      <w:r>
        <w:drawing>
          <wp:inline distT="0" distB="0" distL="114300" distR="114300">
            <wp:extent cx="4669790" cy="2881630"/>
            <wp:effectExtent l="0" t="0" r="1651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4669790" cy="2881630"/>
                    </a:xfrm>
                    <a:prstGeom prst="rect">
                      <a:avLst/>
                    </a:prstGeom>
                    <a:noFill/>
                    <a:ln>
                      <a:noFill/>
                    </a:ln>
                  </pic:spPr>
                </pic:pic>
              </a:graphicData>
            </a:graphic>
          </wp:inline>
        </w:drawing>
      </w:r>
    </w:p>
    <w:tbl>
      <w:tblPr>
        <w:tblStyle w:val="27"/>
        <w:tblW w:w="5000" w:type="pct"/>
        <w:jc w:val="center"/>
        <w:tblLayout w:type="autofit"/>
        <w:tblCellMar>
          <w:top w:w="0" w:type="dxa"/>
          <w:left w:w="108" w:type="dxa"/>
          <w:bottom w:w="0" w:type="dxa"/>
          <w:right w:w="108" w:type="dxa"/>
        </w:tblCellMar>
      </w:tblPr>
      <w:tblGrid>
        <w:gridCol w:w="744"/>
        <w:gridCol w:w="1497"/>
        <w:gridCol w:w="898"/>
        <w:gridCol w:w="1499"/>
        <w:gridCol w:w="898"/>
        <w:gridCol w:w="1642"/>
        <w:gridCol w:w="904"/>
        <w:gridCol w:w="1489"/>
      </w:tblGrid>
      <w:tr>
        <w:tblPrEx>
          <w:tblCellMar>
            <w:top w:w="0" w:type="dxa"/>
            <w:left w:w="108" w:type="dxa"/>
            <w:bottom w:w="0" w:type="dxa"/>
            <w:right w:w="108" w:type="dxa"/>
          </w:tblCellMar>
        </w:tblPrEx>
        <w:trPr>
          <w:trHeight w:val="397" w:hRule="atLeast"/>
          <w:jc w:val="center"/>
        </w:trPr>
        <w:tc>
          <w:tcPr>
            <w:tcW w:w="389" w:type="pct"/>
            <w:vAlign w:val="center"/>
          </w:tcPr>
          <w:p>
            <w:pPr>
              <w:rPr>
                <w:rFonts w:ascii="Times New Roman" w:hAnsi="Times New Roman" w:cs="Times New Roman"/>
                <w:sz w:val="18"/>
                <w:szCs w:val="18"/>
              </w:rPr>
            </w:pPr>
            <w:r>
              <w:rPr>
                <w:rFonts w:ascii="Times New Roman" w:hAnsi="Times New Roman" w:cs="Times New Roman"/>
                <w:sz w:val="18"/>
                <w:szCs w:val="18"/>
              </w:rPr>
              <w:t>说明：</w:t>
            </w:r>
          </w:p>
        </w:tc>
        <w:tc>
          <w:tcPr>
            <w:tcW w:w="782" w:type="pct"/>
            <w:vAlign w:val="center"/>
          </w:tcPr>
          <w:p>
            <w:pPr>
              <w:rPr>
                <w:rFonts w:ascii="Times New Roman" w:hAnsi="Times New Roman" w:cs="Times New Roman"/>
                <w:sz w:val="18"/>
                <w:szCs w:val="18"/>
              </w:rPr>
            </w:pPr>
          </w:p>
        </w:tc>
        <w:tc>
          <w:tcPr>
            <w:tcW w:w="469" w:type="pct"/>
            <w:vAlign w:val="center"/>
          </w:tcPr>
          <w:p>
            <w:pPr>
              <w:rPr>
                <w:rFonts w:ascii="Times New Roman" w:hAnsi="Times New Roman" w:cs="Times New Roman"/>
                <w:sz w:val="18"/>
                <w:szCs w:val="18"/>
              </w:rPr>
            </w:pPr>
          </w:p>
        </w:tc>
        <w:tc>
          <w:tcPr>
            <w:tcW w:w="783" w:type="pct"/>
            <w:vAlign w:val="center"/>
          </w:tcPr>
          <w:p>
            <w:pPr>
              <w:rPr>
                <w:rFonts w:ascii="Times New Roman" w:hAnsi="Times New Roman" w:cs="Times New Roman"/>
                <w:sz w:val="18"/>
                <w:szCs w:val="18"/>
              </w:rPr>
            </w:pPr>
          </w:p>
        </w:tc>
        <w:tc>
          <w:tcPr>
            <w:tcW w:w="469" w:type="pct"/>
            <w:vAlign w:val="center"/>
          </w:tcPr>
          <w:p>
            <w:pPr>
              <w:rPr>
                <w:rFonts w:ascii="Times New Roman" w:hAnsi="Times New Roman" w:cs="Times New Roman"/>
                <w:sz w:val="18"/>
                <w:szCs w:val="18"/>
              </w:rPr>
            </w:pPr>
          </w:p>
        </w:tc>
        <w:tc>
          <w:tcPr>
            <w:tcW w:w="858" w:type="pct"/>
            <w:vAlign w:val="center"/>
          </w:tcPr>
          <w:p>
            <w:pPr>
              <w:rPr>
                <w:rFonts w:ascii="Times New Roman" w:hAnsi="Times New Roman" w:cs="Times New Roman"/>
                <w:sz w:val="18"/>
                <w:szCs w:val="18"/>
              </w:rPr>
            </w:pPr>
          </w:p>
        </w:tc>
        <w:tc>
          <w:tcPr>
            <w:tcW w:w="472" w:type="pct"/>
            <w:vAlign w:val="center"/>
          </w:tcPr>
          <w:p>
            <w:pPr>
              <w:rPr>
                <w:rFonts w:ascii="Times New Roman" w:hAnsi="Times New Roman" w:cs="Times New Roman"/>
                <w:sz w:val="18"/>
                <w:szCs w:val="18"/>
              </w:rPr>
            </w:pPr>
          </w:p>
        </w:tc>
        <w:tc>
          <w:tcPr>
            <w:tcW w:w="778" w:type="pct"/>
            <w:vAlign w:val="center"/>
          </w:tcPr>
          <w:p>
            <w:pPr>
              <w:rPr>
                <w:rFonts w:ascii="Times New Roman" w:hAnsi="Times New Roman" w:cs="Times New Roman"/>
                <w:sz w:val="18"/>
                <w:szCs w:val="18"/>
              </w:rPr>
            </w:pPr>
          </w:p>
        </w:tc>
      </w:tr>
      <w:tr>
        <w:tblPrEx>
          <w:tblCellMar>
            <w:top w:w="0" w:type="dxa"/>
            <w:left w:w="108" w:type="dxa"/>
            <w:bottom w:w="0" w:type="dxa"/>
            <w:right w:w="108" w:type="dxa"/>
          </w:tblCellMar>
        </w:tblPrEx>
        <w:trPr>
          <w:trHeight w:val="397" w:hRule="atLeast"/>
          <w:jc w:val="center"/>
        </w:trPr>
        <w:tc>
          <w:tcPr>
            <w:tcW w:w="1171"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1——左A柱</w:t>
            </w:r>
            <w:r>
              <w:rPr>
                <w:rFonts w:hint="eastAsia" w:ascii="Times New Roman" w:hAnsi="Times New Roman" w:cs="Times New Roman"/>
                <w:sz w:val="18"/>
                <w:szCs w:val="18"/>
              </w:rPr>
              <w:t>；</w:t>
            </w:r>
          </w:p>
        </w:tc>
        <w:tc>
          <w:tcPr>
            <w:tcW w:w="1252" w:type="pct"/>
            <w:gridSpan w:val="2"/>
            <w:vAlign w:val="center"/>
          </w:tcPr>
          <w:p>
            <w:pPr>
              <w:rPr>
                <w:rFonts w:ascii="Times New Roman" w:hAnsi="Times New Roman" w:cs="Times New Roman"/>
                <w:sz w:val="18"/>
                <w:szCs w:val="18"/>
              </w:rPr>
            </w:pPr>
            <w:r>
              <w:rPr>
                <w:rFonts w:ascii="Times New Roman" w:hAnsi="Times New Roman" w:cs="Times New Roman"/>
                <w:sz w:val="18"/>
                <w:szCs w:val="18"/>
              </w:rPr>
              <w:t>6——右C柱</w:t>
            </w:r>
            <w:r>
              <w:rPr>
                <w:rFonts w:hint="eastAsia" w:ascii="Times New Roman" w:hAnsi="Times New Roman" w:cs="Times New Roman"/>
                <w:sz w:val="18"/>
                <w:szCs w:val="18"/>
              </w:rPr>
              <w:t>；</w:t>
            </w:r>
          </w:p>
        </w:tc>
        <w:tc>
          <w:tcPr>
            <w:tcW w:w="1327"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11——左后悬架塔座</w:t>
            </w:r>
            <w:r>
              <w:rPr>
                <w:rFonts w:hint="eastAsia" w:ascii="Times New Roman" w:hAnsi="Times New Roman" w:cs="Times New Roman"/>
                <w:sz w:val="18"/>
                <w:szCs w:val="18"/>
              </w:rPr>
              <w:t>；</w:t>
            </w:r>
          </w:p>
        </w:tc>
        <w:tc>
          <w:tcPr>
            <w:tcW w:w="1250"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16——左下边梁</w:t>
            </w:r>
            <w:r>
              <w:rPr>
                <w:rFonts w:hint="eastAsia" w:ascii="Times New Roman" w:hAnsi="Times New Roman" w:cs="Times New Roman"/>
                <w:sz w:val="18"/>
                <w:szCs w:val="18"/>
              </w:rPr>
              <w:t>；</w:t>
            </w:r>
          </w:p>
        </w:tc>
      </w:tr>
      <w:tr>
        <w:tblPrEx>
          <w:tblCellMar>
            <w:top w:w="0" w:type="dxa"/>
            <w:left w:w="108" w:type="dxa"/>
            <w:bottom w:w="0" w:type="dxa"/>
            <w:right w:w="108" w:type="dxa"/>
          </w:tblCellMar>
        </w:tblPrEx>
        <w:trPr>
          <w:trHeight w:val="397" w:hRule="atLeast"/>
          <w:jc w:val="center"/>
        </w:trPr>
        <w:tc>
          <w:tcPr>
            <w:tcW w:w="1171" w:type="pct"/>
            <w:gridSpan w:val="2"/>
            <w:vAlign w:val="center"/>
          </w:tcPr>
          <w:p>
            <w:pPr>
              <w:rPr>
                <w:rFonts w:ascii="Times New Roman" w:hAnsi="Times New Roman" w:cs="Times New Roman"/>
                <w:sz w:val="18"/>
                <w:szCs w:val="18"/>
              </w:rPr>
            </w:pPr>
            <w:r>
              <w:rPr>
                <w:rFonts w:ascii="Times New Roman" w:hAnsi="Times New Roman" w:cs="Times New Roman"/>
                <w:sz w:val="18"/>
                <w:szCs w:val="18"/>
              </w:rPr>
              <w:t>2——左B柱</w:t>
            </w:r>
            <w:r>
              <w:rPr>
                <w:rFonts w:hint="eastAsia" w:ascii="Times New Roman" w:hAnsi="Times New Roman" w:cs="Times New Roman"/>
                <w:sz w:val="18"/>
                <w:szCs w:val="18"/>
              </w:rPr>
              <w:t>；</w:t>
            </w:r>
          </w:p>
        </w:tc>
        <w:tc>
          <w:tcPr>
            <w:tcW w:w="1252" w:type="pct"/>
            <w:gridSpan w:val="2"/>
            <w:vAlign w:val="center"/>
          </w:tcPr>
          <w:p>
            <w:pPr>
              <w:rPr>
                <w:rFonts w:ascii="Times New Roman" w:hAnsi="Times New Roman" w:cs="Times New Roman"/>
                <w:sz w:val="18"/>
                <w:szCs w:val="18"/>
              </w:rPr>
            </w:pPr>
            <w:r>
              <w:rPr>
                <w:rFonts w:ascii="Times New Roman" w:hAnsi="Times New Roman" w:cs="Times New Roman"/>
                <w:sz w:val="18"/>
                <w:szCs w:val="18"/>
              </w:rPr>
              <w:t>7——左前纵梁</w:t>
            </w:r>
            <w:r>
              <w:rPr>
                <w:rFonts w:hint="eastAsia" w:ascii="Times New Roman" w:hAnsi="Times New Roman" w:cs="Times New Roman"/>
                <w:sz w:val="18"/>
                <w:szCs w:val="18"/>
              </w:rPr>
              <w:t>；</w:t>
            </w:r>
          </w:p>
        </w:tc>
        <w:tc>
          <w:tcPr>
            <w:tcW w:w="1327"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12——右后悬架塔座</w:t>
            </w:r>
            <w:r>
              <w:rPr>
                <w:rFonts w:hint="eastAsia" w:ascii="Times New Roman" w:hAnsi="Times New Roman" w:cs="Times New Roman"/>
                <w:sz w:val="18"/>
                <w:szCs w:val="18"/>
              </w:rPr>
              <w:t>；</w:t>
            </w:r>
          </w:p>
        </w:tc>
        <w:tc>
          <w:tcPr>
            <w:tcW w:w="1250"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17——右上边梁</w:t>
            </w:r>
            <w:r>
              <w:rPr>
                <w:rFonts w:hint="eastAsia" w:ascii="Times New Roman" w:hAnsi="Times New Roman" w:cs="Times New Roman"/>
                <w:sz w:val="18"/>
                <w:szCs w:val="18"/>
              </w:rPr>
              <w:t>；</w:t>
            </w:r>
          </w:p>
        </w:tc>
      </w:tr>
      <w:tr>
        <w:tblPrEx>
          <w:tblCellMar>
            <w:top w:w="0" w:type="dxa"/>
            <w:left w:w="108" w:type="dxa"/>
            <w:bottom w:w="0" w:type="dxa"/>
            <w:right w:w="108" w:type="dxa"/>
          </w:tblCellMar>
        </w:tblPrEx>
        <w:trPr>
          <w:trHeight w:val="397" w:hRule="atLeast"/>
          <w:jc w:val="center"/>
        </w:trPr>
        <w:tc>
          <w:tcPr>
            <w:tcW w:w="1171" w:type="pct"/>
            <w:gridSpan w:val="2"/>
            <w:vAlign w:val="center"/>
          </w:tcPr>
          <w:p>
            <w:pPr>
              <w:rPr>
                <w:rFonts w:ascii="Times New Roman" w:hAnsi="Times New Roman" w:cs="Times New Roman"/>
                <w:sz w:val="18"/>
                <w:szCs w:val="18"/>
              </w:rPr>
            </w:pPr>
            <w:r>
              <w:rPr>
                <w:rFonts w:ascii="Times New Roman" w:hAnsi="Times New Roman" w:cs="Times New Roman"/>
                <w:sz w:val="18"/>
                <w:szCs w:val="18"/>
              </w:rPr>
              <w:t>3——左C柱</w:t>
            </w:r>
            <w:r>
              <w:rPr>
                <w:rFonts w:hint="eastAsia" w:ascii="Times New Roman" w:hAnsi="Times New Roman" w:cs="Times New Roman"/>
                <w:sz w:val="18"/>
                <w:szCs w:val="18"/>
              </w:rPr>
              <w:t>；</w:t>
            </w:r>
          </w:p>
        </w:tc>
        <w:tc>
          <w:tcPr>
            <w:tcW w:w="1252" w:type="pct"/>
            <w:gridSpan w:val="2"/>
            <w:vAlign w:val="center"/>
          </w:tcPr>
          <w:p>
            <w:pPr>
              <w:rPr>
                <w:rFonts w:ascii="Times New Roman" w:hAnsi="Times New Roman" w:cs="Times New Roman"/>
                <w:sz w:val="18"/>
                <w:szCs w:val="18"/>
              </w:rPr>
            </w:pPr>
            <w:r>
              <w:rPr>
                <w:rFonts w:ascii="Times New Roman" w:hAnsi="Times New Roman" w:cs="Times New Roman"/>
                <w:sz w:val="18"/>
                <w:szCs w:val="18"/>
              </w:rPr>
              <w:t>8——右前纵梁</w:t>
            </w:r>
            <w:r>
              <w:rPr>
                <w:rFonts w:hint="eastAsia" w:ascii="Times New Roman" w:hAnsi="Times New Roman" w:cs="Times New Roman"/>
                <w:sz w:val="18"/>
                <w:szCs w:val="18"/>
              </w:rPr>
              <w:t>；</w:t>
            </w:r>
          </w:p>
        </w:tc>
        <w:tc>
          <w:tcPr>
            <w:tcW w:w="1327"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13——左后纵梁</w:t>
            </w:r>
            <w:r>
              <w:rPr>
                <w:rFonts w:hint="eastAsia" w:ascii="Times New Roman" w:hAnsi="Times New Roman" w:cs="Times New Roman"/>
                <w:sz w:val="18"/>
                <w:szCs w:val="18"/>
              </w:rPr>
              <w:t>；</w:t>
            </w:r>
          </w:p>
        </w:tc>
        <w:tc>
          <w:tcPr>
            <w:tcW w:w="1250"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18——右下边梁</w:t>
            </w:r>
            <w:r>
              <w:rPr>
                <w:rFonts w:hint="eastAsia" w:ascii="Times New Roman" w:hAnsi="Times New Roman" w:cs="Times New Roman"/>
                <w:sz w:val="18"/>
                <w:szCs w:val="18"/>
              </w:rPr>
              <w:t>；</w:t>
            </w:r>
          </w:p>
        </w:tc>
      </w:tr>
      <w:tr>
        <w:tblPrEx>
          <w:tblCellMar>
            <w:top w:w="0" w:type="dxa"/>
            <w:left w:w="108" w:type="dxa"/>
            <w:bottom w:w="0" w:type="dxa"/>
            <w:right w:w="108" w:type="dxa"/>
          </w:tblCellMar>
        </w:tblPrEx>
        <w:trPr>
          <w:trHeight w:val="397" w:hRule="atLeast"/>
          <w:jc w:val="center"/>
        </w:trPr>
        <w:tc>
          <w:tcPr>
            <w:tcW w:w="1171" w:type="pct"/>
            <w:gridSpan w:val="2"/>
            <w:vAlign w:val="center"/>
          </w:tcPr>
          <w:p>
            <w:pPr>
              <w:rPr>
                <w:rFonts w:ascii="Times New Roman" w:hAnsi="Times New Roman" w:cs="Times New Roman"/>
                <w:sz w:val="18"/>
                <w:szCs w:val="18"/>
              </w:rPr>
            </w:pPr>
            <w:r>
              <w:rPr>
                <w:rFonts w:ascii="Times New Roman" w:hAnsi="Times New Roman" w:cs="Times New Roman"/>
                <w:sz w:val="18"/>
                <w:szCs w:val="18"/>
              </w:rPr>
              <w:t>4——右A柱</w:t>
            </w:r>
            <w:r>
              <w:rPr>
                <w:rFonts w:hint="eastAsia" w:ascii="Times New Roman" w:hAnsi="Times New Roman" w:cs="Times New Roman"/>
                <w:sz w:val="18"/>
                <w:szCs w:val="18"/>
              </w:rPr>
              <w:t>；</w:t>
            </w:r>
          </w:p>
        </w:tc>
        <w:tc>
          <w:tcPr>
            <w:tcW w:w="1252" w:type="pct"/>
            <w:gridSpan w:val="2"/>
            <w:vAlign w:val="center"/>
          </w:tcPr>
          <w:p>
            <w:pPr>
              <w:rPr>
                <w:rFonts w:ascii="Times New Roman" w:hAnsi="Times New Roman" w:cs="Times New Roman"/>
                <w:sz w:val="18"/>
                <w:szCs w:val="18"/>
              </w:rPr>
            </w:pPr>
            <w:r>
              <w:rPr>
                <w:rFonts w:ascii="Times New Roman" w:hAnsi="Times New Roman" w:cs="Times New Roman"/>
                <w:sz w:val="18"/>
                <w:szCs w:val="18"/>
              </w:rPr>
              <w:t>9——左前悬架塔座</w:t>
            </w:r>
            <w:r>
              <w:rPr>
                <w:rFonts w:hint="eastAsia" w:ascii="Times New Roman" w:hAnsi="Times New Roman" w:cs="Times New Roman"/>
                <w:sz w:val="18"/>
                <w:szCs w:val="18"/>
              </w:rPr>
              <w:t>；</w:t>
            </w:r>
          </w:p>
        </w:tc>
        <w:tc>
          <w:tcPr>
            <w:tcW w:w="1327"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14——右后纵梁</w:t>
            </w:r>
            <w:r>
              <w:rPr>
                <w:rFonts w:hint="eastAsia" w:ascii="Times New Roman" w:hAnsi="Times New Roman" w:cs="Times New Roman"/>
                <w:sz w:val="18"/>
                <w:szCs w:val="18"/>
              </w:rPr>
              <w:t>；</w:t>
            </w:r>
          </w:p>
        </w:tc>
        <w:tc>
          <w:tcPr>
            <w:tcW w:w="1250"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19——后备箱底板</w:t>
            </w:r>
            <w:r>
              <w:rPr>
                <w:rFonts w:hint="eastAsia" w:ascii="Times New Roman" w:hAnsi="Times New Roman" w:cs="Times New Roman"/>
                <w:sz w:val="18"/>
                <w:szCs w:val="18"/>
              </w:rPr>
              <w:t>。</w:t>
            </w:r>
          </w:p>
        </w:tc>
      </w:tr>
      <w:tr>
        <w:tblPrEx>
          <w:tblCellMar>
            <w:top w:w="0" w:type="dxa"/>
            <w:left w:w="108" w:type="dxa"/>
            <w:bottom w:w="0" w:type="dxa"/>
            <w:right w:w="108" w:type="dxa"/>
          </w:tblCellMar>
        </w:tblPrEx>
        <w:trPr>
          <w:trHeight w:val="397" w:hRule="atLeast"/>
          <w:jc w:val="center"/>
        </w:trPr>
        <w:tc>
          <w:tcPr>
            <w:tcW w:w="1171" w:type="pct"/>
            <w:gridSpan w:val="2"/>
            <w:vAlign w:val="center"/>
          </w:tcPr>
          <w:p>
            <w:pPr>
              <w:rPr>
                <w:rFonts w:ascii="Times New Roman" w:hAnsi="Times New Roman" w:cs="Times New Roman"/>
                <w:sz w:val="18"/>
                <w:szCs w:val="18"/>
              </w:rPr>
            </w:pPr>
            <w:r>
              <w:rPr>
                <w:rFonts w:ascii="Times New Roman" w:hAnsi="Times New Roman" w:cs="Times New Roman"/>
                <w:sz w:val="18"/>
                <w:szCs w:val="18"/>
              </w:rPr>
              <w:t>5——右B柱</w:t>
            </w:r>
            <w:r>
              <w:rPr>
                <w:rFonts w:hint="eastAsia" w:ascii="Times New Roman" w:hAnsi="Times New Roman" w:cs="Times New Roman"/>
                <w:sz w:val="18"/>
                <w:szCs w:val="18"/>
              </w:rPr>
              <w:t>；</w:t>
            </w:r>
          </w:p>
        </w:tc>
        <w:tc>
          <w:tcPr>
            <w:tcW w:w="1252"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10——右前悬架塔座</w:t>
            </w:r>
            <w:r>
              <w:rPr>
                <w:rFonts w:hint="eastAsia" w:ascii="Times New Roman" w:hAnsi="Times New Roman" w:cs="Times New Roman"/>
                <w:sz w:val="18"/>
                <w:szCs w:val="18"/>
              </w:rPr>
              <w:t>；</w:t>
            </w:r>
          </w:p>
        </w:tc>
        <w:tc>
          <w:tcPr>
            <w:tcW w:w="1327" w:type="pct"/>
            <w:gridSpan w:val="2"/>
            <w:vAlign w:val="center"/>
          </w:tcPr>
          <w:p>
            <w:pPr>
              <w:rPr>
                <w:rFonts w:ascii="Times New Roman" w:hAnsi="Times New Roman" w:cs="Times New Roman"/>
                <w:sz w:val="18"/>
                <w:szCs w:val="18"/>
              </w:rPr>
            </w:pPr>
            <w:r>
              <w:rPr>
                <w:rFonts w:ascii="Times New Roman" w:hAnsi="Times New Roman" w:cs="Times New Roman"/>
                <w:sz w:val="18"/>
                <w:szCs w:val="18"/>
              </w:rPr>
              <w:t>15——左上边梁</w:t>
            </w:r>
            <w:r>
              <w:rPr>
                <w:rFonts w:hint="eastAsia" w:ascii="Times New Roman" w:hAnsi="Times New Roman" w:cs="Times New Roman"/>
                <w:sz w:val="18"/>
                <w:szCs w:val="18"/>
              </w:rPr>
              <w:t>；</w:t>
            </w:r>
          </w:p>
        </w:tc>
        <w:tc>
          <w:tcPr>
            <w:tcW w:w="472" w:type="pct"/>
            <w:vAlign w:val="center"/>
          </w:tcPr>
          <w:p>
            <w:pPr>
              <w:rPr>
                <w:rFonts w:ascii="Times New Roman" w:hAnsi="Times New Roman" w:cs="Times New Roman"/>
                <w:sz w:val="18"/>
                <w:szCs w:val="18"/>
              </w:rPr>
            </w:pPr>
          </w:p>
        </w:tc>
        <w:tc>
          <w:tcPr>
            <w:tcW w:w="778" w:type="pct"/>
            <w:vAlign w:val="center"/>
          </w:tcPr>
          <w:p>
            <w:pPr>
              <w:rPr>
                <w:rFonts w:ascii="Times New Roman" w:hAnsi="Times New Roman" w:cs="Times New Roman"/>
                <w:sz w:val="18"/>
                <w:szCs w:val="18"/>
              </w:rPr>
            </w:pPr>
          </w:p>
        </w:tc>
      </w:tr>
    </w:tbl>
    <w:p>
      <w:pPr>
        <w:pStyle w:val="249"/>
        <w:numPr>
          <w:ilvl w:val="0"/>
          <w:numId w:val="0"/>
        </w:numPr>
        <w:spacing w:before="156" w:after="156"/>
        <w:jc w:val="center"/>
      </w:pPr>
      <w:r>
        <w:rPr>
          <w:rFonts w:hint="eastAsia"/>
          <w:lang w:val="en-US" w:eastAsia="zh-CN"/>
        </w:rPr>
        <w:t>图1　</w:t>
      </w:r>
      <w:r>
        <w:t>车体结构示意图</w:t>
      </w:r>
    </w:p>
    <w:p>
      <w:pPr>
        <w:pStyle w:val="66"/>
        <w:widowControl w:val="0"/>
        <w:spacing w:before="0" w:beforeLines="0" w:after="0" w:afterLines="0"/>
        <w:rPr>
          <w:rFonts w:hint="eastAsia" w:ascii="宋体" w:hAnsi="宋体" w:eastAsia="宋体" w:cs="宋体"/>
        </w:rPr>
      </w:pPr>
      <w:r>
        <w:rPr>
          <w:rFonts w:hint="eastAsia" w:ascii="宋体" w:hAnsi="宋体" w:eastAsia="宋体" w:cs="宋体"/>
        </w:rPr>
        <w:t>水</w:t>
      </w:r>
      <w:r>
        <w:rPr>
          <w:rFonts w:hint="eastAsia" w:ascii="宋体" w:hAnsi="宋体" w:eastAsia="宋体" w:cs="宋体"/>
          <w:lang w:val="en-US" w:eastAsia="zh-CN"/>
        </w:rPr>
        <w:t>应未</w:t>
      </w:r>
      <w:r>
        <w:rPr>
          <w:rFonts w:hint="eastAsia" w:ascii="宋体" w:hAnsi="宋体" w:eastAsia="宋体" w:cs="宋体"/>
        </w:rPr>
        <w:t>进入驾驶室内，且</w:t>
      </w:r>
      <w:r>
        <w:rPr>
          <w:rFonts w:hint="eastAsia" w:ascii="宋体" w:hAnsi="宋体" w:eastAsia="宋体" w:cs="宋体"/>
          <w:lang w:val="en-US" w:eastAsia="zh-CN"/>
        </w:rPr>
        <w:t>无</w:t>
      </w:r>
      <w:r>
        <w:rPr>
          <w:rFonts w:hint="eastAsia" w:ascii="宋体" w:hAnsi="宋体" w:eastAsia="宋体" w:cs="宋体"/>
        </w:rPr>
        <w:t>明显泡水痕迹</w:t>
      </w:r>
      <w:r>
        <w:rPr>
          <w:rFonts w:hint="eastAsia" w:ascii="宋体" w:hAnsi="宋体" w:eastAsia="宋体" w:cs="宋体"/>
          <w:lang w:eastAsia="zh-CN"/>
        </w:rPr>
        <w:t>。</w:t>
      </w:r>
    </w:p>
    <w:p>
      <w:pPr>
        <w:pStyle w:val="66"/>
        <w:widowControl w:val="0"/>
        <w:spacing w:before="0" w:beforeLines="0" w:after="0" w:afterLines="0"/>
      </w:pPr>
      <w:r>
        <w:rPr>
          <w:rFonts w:hint="eastAsia" w:ascii="宋体" w:hAnsi="宋体" w:eastAsia="宋体" w:cs="宋体"/>
        </w:rPr>
        <w:t>车辆</w:t>
      </w:r>
      <w:r>
        <w:rPr>
          <w:rFonts w:hint="eastAsia" w:ascii="宋体" w:hAnsi="宋体" w:eastAsia="宋体" w:cs="宋体"/>
          <w:lang w:val="en-US" w:eastAsia="zh-CN"/>
        </w:rPr>
        <w:t>应无</w:t>
      </w:r>
      <w:r>
        <w:rPr>
          <w:rFonts w:hint="eastAsia" w:ascii="宋体" w:hAnsi="宋体" w:eastAsia="宋体" w:cs="宋体"/>
        </w:rPr>
        <w:t>明显过火痕迹。</w:t>
      </w:r>
    </w:p>
    <w:p>
      <w:pPr>
        <w:pStyle w:val="246"/>
        <w:spacing w:before="157" w:beforeLines="50" w:after="157" w:afterLines="50"/>
      </w:pPr>
      <w:r>
        <w:t>车身外观</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车身外观应清洁。</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车身前部外表面的易见部位上应至少装置一个能永久保持，且与车辆品牌、型号相适应的商标或厂标。</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车体应周正，车体外缘左右对称部位高度差应小于等于40mm。</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车身外观零部件应联接牢固，无缺损，不应有可能使人致伤的尖角、锐边等凸起物。</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车门应开闭顺畅，密封性良好，无漏水痕迹。车锁应完好且功能正常。</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左右后视镜应无破损，调整功能正常且能有效保持其位置。</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雨刮器应能正常操作，胶条无断裂。</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玻璃不应有裂痕和点状破裂，有石击痕迹但无穿透性损伤的除外。</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外观灯具应齐全，灯罩无破裂，且不应有后射灯。</w:t>
      </w:r>
    </w:p>
    <w:p>
      <w:pPr>
        <w:pStyle w:val="246"/>
        <w:spacing w:before="157" w:beforeLines="50" w:after="157" w:afterLines="50"/>
      </w:pPr>
      <w:r>
        <w:t>发动机舱</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发动机、驱动电机固定可靠，不应有裂纹和漏油现象。悬置不应有开裂现象。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燃油、润滑油、冷却液、转向助力液等不应有漏油、漏液现象。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发动机润滑油不应有冷却液混入和乳化现象。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传动皮带、油液管路等不应有断裂、破损现象。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发动机舱盖锁开启、锁止功能应正常。</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蓄电池不应有极柱断裂、外观破损或漏液等现象。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高低压线束、连接器及保护管/套应布置整齐，不应有断裂、破损、表面材料溶解或烧蚀痕迹。</w:t>
      </w:r>
    </w:p>
    <w:p>
      <w:pPr>
        <w:pStyle w:val="246"/>
        <w:spacing w:before="157" w:beforeLines="50" w:after="157" w:afterLines="50"/>
      </w:pPr>
      <w:r>
        <w:t>驾驶</w:t>
      </w:r>
      <w:r>
        <w:rPr>
          <w:rFonts w:hint="eastAsia"/>
        </w:rPr>
        <w:t>室</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车内后视镜不应有破损，调整功能正常且能有效保持其位置。</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方向盘、换挡杆（或换挡按键）、档位指示标志不应有明显破损，属于表面正常磨损的除外。</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座椅应固定可靠，座椅调整功能正常。</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车辆配备的安全带应完好，且能正常使用。</w:t>
      </w:r>
    </w:p>
    <w:p>
      <w:pPr>
        <w:pStyle w:val="246"/>
        <w:spacing w:before="157" w:beforeLines="50" w:after="157" w:afterLines="50"/>
      </w:pPr>
      <w:r>
        <w:t>底盘</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车架不应有裂纹、变形，螺栓和铆钉不应缺少或松动。</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转向系统应功能正常，无漏油现象。转向节臂、转向横拉杆、转向直拉杆及球销应联接可靠，无变形、裂纹和损伤，转向球销等连接部位不应松旷。</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制动系统应功能正常，制动主缸、轮缸及管路不应有漏气、漏油现象。制动软管不应与其他部件干涉，且不应有明显老化、开裂、被压扁、鼓包等现象。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轮胎应与车辆匹配，同轴两侧应装用同一型号、规格的轮胎。</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胎冠花纹深度应大于等于1.6mm。轮胎的胎面、胎壁不应有长度超过25mm或深度足以暴露出轮胎帘布层的破裂和割伤及其他影响使用的缺损、异常磨损和鼓包变形。</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车轮不应有明显变形，轮胎螺栓、半轴螺栓应完整齐全，且安装紧固。</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悬架系统各接头和衬套不应松旷或移位，稳定杆应联接可靠，悬架各连杆不应有残损或变形。</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减震器稳固有效，不应有漏油现象，且减震弹簧不应有损坏现象。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钢板弹簧不应有裂纹和断片现象。钢板吊耳及销不应松旷，中心螺栓</w:t>
      </w:r>
      <w:r>
        <w:rPr>
          <w:rFonts w:hint="eastAsia" w:ascii="宋体" w:hAnsi="宋体" w:eastAsia="宋体" w:cs="宋体"/>
          <w:lang w:val="en-US" w:eastAsia="zh-CN"/>
        </w:rPr>
        <w:t>、</w:t>
      </w:r>
      <w:r>
        <w:rPr>
          <w:rFonts w:hint="eastAsia" w:ascii="宋体" w:hAnsi="宋体" w:eastAsia="宋体" w:cs="宋体"/>
        </w:rPr>
        <w:t>U形螺栓</w:t>
      </w:r>
      <w:r>
        <w:rPr>
          <w:rFonts w:hint="eastAsia" w:ascii="宋体" w:hAnsi="宋体" w:eastAsia="宋体" w:cs="宋体"/>
          <w:lang w:val="en-US" w:eastAsia="zh-CN"/>
        </w:rPr>
        <w:t>螺母应齐全</w:t>
      </w:r>
      <w:r>
        <w:rPr>
          <w:rFonts w:hint="eastAsia" w:ascii="宋体" w:hAnsi="宋体" w:eastAsia="宋体" w:cs="宋体"/>
        </w:rPr>
        <w:t>紧固、</w:t>
      </w:r>
      <w:r>
        <w:rPr>
          <w:rFonts w:hint="eastAsia" w:ascii="宋体" w:hAnsi="宋体" w:eastAsia="宋体" w:cs="宋体"/>
          <w:lang w:val="en-US" w:eastAsia="zh-CN"/>
        </w:rPr>
        <w:t>不松旷。</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空气悬架的控制管路和空气弹簧不应漏气，空气弹簧不应有</w:t>
      </w:r>
      <w:r>
        <w:rPr>
          <w:rFonts w:hint="eastAsia" w:ascii="宋体" w:hAnsi="宋体" w:eastAsia="宋体" w:cs="宋体"/>
          <w:lang w:val="en-US" w:eastAsia="zh-CN"/>
        </w:rPr>
        <w:t>可视的裂损</w:t>
      </w:r>
      <w:r>
        <w:rPr>
          <w:rFonts w:hint="eastAsia" w:ascii="宋体" w:hAnsi="宋体" w:eastAsia="宋体" w:cs="宋体"/>
        </w:rPr>
        <w:t>。</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变速</w:t>
      </w:r>
      <w:r>
        <w:rPr>
          <w:rFonts w:hint="eastAsia" w:ascii="宋体" w:hAnsi="宋体" w:eastAsia="宋体" w:cs="宋体"/>
          <w:lang w:val="en-US" w:eastAsia="zh-CN"/>
        </w:rPr>
        <w:t>箱</w:t>
      </w:r>
      <w:r>
        <w:rPr>
          <w:rFonts w:hint="eastAsia" w:ascii="宋体" w:hAnsi="宋体" w:eastAsia="宋体" w:cs="宋体"/>
        </w:rPr>
        <w:t>、分动</w:t>
      </w:r>
      <w:r>
        <w:rPr>
          <w:rFonts w:hint="eastAsia" w:ascii="宋体" w:hAnsi="宋体" w:eastAsia="宋体" w:cs="宋体"/>
          <w:lang w:val="en-US" w:eastAsia="zh-CN"/>
        </w:rPr>
        <w:t>箱</w:t>
      </w:r>
      <w:r>
        <w:rPr>
          <w:rFonts w:hint="eastAsia" w:ascii="宋体" w:hAnsi="宋体" w:eastAsia="宋体" w:cs="宋体"/>
        </w:rPr>
        <w:t>、减速器、传动轴、车桥等不应有裂纹和漏油现象。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传动轴中间轴承和万向节不应有裂纹和松旷现象。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燃料箱应固定可靠，不应漏油，燃料管路与其他部件不应有碰擦和明显老化现象。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气体燃料车辆的气瓶、管路及接头应固定可靠，无泄漏现象。瓶身应无结霜、水滴凝结等现象。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动力电池固定可靠，外壳不应有裂纹、外伤或电解液泄漏等情况。</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外接充电接口表面不应有明显变形或烧蚀痕迹。</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手动维护开关（</w:t>
      </w:r>
      <w:r>
        <w:rPr>
          <w:rFonts w:hint="eastAsia" w:ascii="宋体" w:hAnsi="宋体" w:eastAsia="宋体" w:cs="宋体"/>
        </w:rPr>
        <w:fldChar w:fldCharType="begin"/>
      </w:r>
      <w:r>
        <w:rPr>
          <w:rFonts w:hint="eastAsia" w:ascii="宋体" w:hAnsi="宋体" w:eastAsia="宋体" w:cs="宋体"/>
        </w:rPr>
        <w:instrText xml:space="preserve"> HYPERLINK "http://www.baidu.com/link?url=wDWCZVWefvA4tJForjggw3_frgOUfK-QAXFsZjQX1lSD0_3Ab0d_po7EUfnm2gs8EzL6zMP9O58p81bETo1YtSuQmymFePVxygcRlx8YpHGAKWrd9WSB1llRcsnQfLqA" \t "_blank" </w:instrText>
      </w:r>
      <w:r>
        <w:rPr>
          <w:rFonts w:hint="eastAsia" w:ascii="宋体" w:hAnsi="宋体" w:eastAsia="宋体" w:cs="宋体"/>
        </w:rPr>
        <w:fldChar w:fldCharType="separate"/>
      </w:r>
      <w:r>
        <w:rPr>
          <w:rFonts w:hint="eastAsia" w:ascii="宋体" w:hAnsi="宋体" w:eastAsia="宋体" w:cs="宋体"/>
        </w:rPr>
        <w:t>MSD</w:t>
      </w:r>
      <w:r>
        <w:rPr>
          <w:rFonts w:hint="eastAsia" w:ascii="宋体" w:hAnsi="宋体" w:eastAsia="宋体" w:cs="宋体"/>
        </w:rPr>
        <w:fldChar w:fldCharType="end"/>
      </w:r>
      <w:r>
        <w:rPr>
          <w:rFonts w:hint="eastAsia" w:ascii="宋体" w:hAnsi="宋体" w:eastAsia="宋体" w:cs="宋体"/>
        </w:rPr>
        <w:t>）外观应完好，插合到位，防松脱装置处于锁止状态。</w:t>
      </w:r>
    </w:p>
    <w:p>
      <w:pPr>
        <w:pStyle w:val="246"/>
        <w:spacing w:before="157" w:beforeLines="50" w:after="157" w:afterLines="50"/>
      </w:pPr>
      <w:r>
        <w:rPr>
          <w:rFonts w:hint="eastAsia"/>
        </w:rPr>
        <w:t>动态</w:t>
      </w:r>
      <w:r>
        <w:rPr>
          <w:rFonts w:hint="eastAsia"/>
          <w:lang w:val="en-US" w:eastAsia="zh-CN"/>
        </w:rPr>
        <w:t>行驶</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车辆不应有与防抱制动装置（ABS）、电动助力转向系统（EPS）</w:t>
      </w:r>
      <w:r>
        <w:rPr>
          <w:rFonts w:hint="eastAsia" w:ascii="宋体" w:hAnsi="宋体" w:eastAsia="宋体" w:cs="宋体"/>
          <w:lang w:val="en-US" w:eastAsia="zh-CN"/>
        </w:rPr>
        <w:t>及其他与行车安全相关的故障信息。纯电动汽车、插电式混合动力汽车、燃料电池汽车不应有与</w:t>
      </w:r>
      <w:r>
        <w:rPr>
          <w:rFonts w:hint="eastAsia" w:ascii="宋体" w:hAnsi="宋体" w:eastAsia="宋体" w:cs="宋体"/>
        </w:rPr>
        <w:t>电驱动系统、高压绝缘、动力电池</w:t>
      </w:r>
      <w:r>
        <w:rPr>
          <w:rFonts w:hint="eastAsia" w:ascii="宋体" w:hAnsi="宋体" w:eastAsia="宋体" w:cs="宋体"/>
          <w:lang w:val="en-US" w:eastAsia="zh-CN"/>
        </w:rPr>
        <w:t>等有关的报警信号</w:t>
      </w:r>
      <w:r>
        <w:rPr>
          <w:rFonts w:hint="eastAsia" w:ascii="宋体" w:hAnsi="宋体" w:eastAsia="宋体" w:cs="宋体"/>
        </w:rPr>
        <w:t>。</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仪表板指示灯应显示正常。</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发动机、驱动电机应运转平稳，无异响。发动机怠速稳定。</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喇叭应工作正常。</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所有灯具应可通过开关或手柄等操作正常开启和关闭，对称设置、功能相同灯具的光色和亮度不应有明显差异。</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排气系统应无漏气和异常噪声。</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方向盘应转动灵活，操纵方便，无卡滞现象。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方向盘的最大自由转动量应小于等于15°。</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制动时制动踏板动作应正常，响应迅速，方向盘无抖动，无跑偏现象。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离合器应接合平稳，分离彻底，工作时不应有异响、抖动或不正常打滑等现象。</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ascii="宋体" w:hAnsi="宋体" w:eastAsia="宋体" w:cs="宋体"/>
        </w:rPr>
      </w:pPr>
      <w:r>
        <w:rPr>
          <w:rFonts w:hint="eastAsia" w:ascii="宋体" w:hAnsi="宋体" w:eastAsia="宋体" w:cs="宋体"/>
        </w:rPr>
        <w:t>换挡时齿轮应啮合灵便，互锁、自锁和倒挡锁装置应有效，不应有乱挡和自行跳挡现象，运行中应无异响。</w:t>
      </w:r>
    </w:p>
    <w:p>
      <w:pPr>
        <w:pStyle w:val="246"/>
        <w:spacing w:before="157" w:after="157"/>
      </w:pPr>
      <w:r>
        <w:t>仪器设备</w:t>
      </w:r>
    </w:p>
    <w:p>
      <w:pPr>
        <w:pStyle w:val="66"/>
        <w:adjustRightInd/>
        <w:spacing w:before="0" w:beforeLines="0" w:after="0" w:afterLines="0"/>
        <w:rPr>
          <w:rFonts w:hint="eastAsia" w:ascii="宋体" w:hAnsi="宋体" w:eastAsia="宋体" w:cs="宋体"/>
        </w:rPr>
      </w:pPr>
      <w:r>
        <w:rPr>
          <w:rFonts w:hint="eastAsia" w:ascii="宋体" w:hAnsi="宋体" w:eastAsia="宋体" w:cs="宋体"/>
        </w:rPr>
        <w:t>行车制动性能应</w:t>
      </w:r>
      <w:r>
        <w:rPr>
          <w:rFonts w:hint="eastAsia" w:ascii="宋体" w:hAnsi="宋体" w:eastAsia="宋体" w:cs="宋体"/>
          <w:lang w:val="en-US" w:eastAsia="zh-CN"/>
        </w:rPr>
        <w:t>满足</w:t>
      </w:r>
      <w:r>
        <w:rPr>
          <w:rFonts w:hint="eastAsia" w:ascii="宋体" w:hAnsi="宋体" w:eastAsia="宋体" w:cs="宋体"/>
        </w:rPr>
        <w:t xml:space="preserve">GB </w:t>
      </w:r>
      <w:r>
        <w:rPr>
          <w:rFonts w:hint="eastAsia" w:ascii="宋体" w:hAnsi="宋体" w:eastAsia="宋体" w:cs="宋体"/>
          <w:lang w:val="en-US" w:eastAsia="zh-CN"/>
        </w:rPr>
        <w:t>39800</w:t>
      </w:r>
      <w:r>
        <w:rPr>
          <w:rFonts w:hint="eastAsia" w:ascii="宋体" w:hAnsi="宋体" w:eastAsia="宋体" w:cs="宋体"/>
        </w:rPr>
        <w:t>—20</w:t>
      </w:r>
      <w:r>
        <w:rPr>
          <w:rFonts w:hint="eastAsia" w:ascii="宋体" w:hAnsi="宋体" w:eastAsia="宋体" w:cs="宋体"/>
          <w:lang w:val="en-US" w:eastAsia="zh-CN"/>
        </w:rPr>
        <w:t>20</w:t>
      </w:r>
      <w:r>
        <w:rPr>
          <w:rFonts w:hint="eastAsia" w:ascii="宋体" w:hAnsi="宋体" w:eastAsia="宋体" w:cs="宋体"/>
        </w:rPr>
        <w:t>中</w:t>
      </w:r>
      <w:r>
        <w:rPr>
          <w:rFonts w:hint="eastAsia" w:ascii="宋体" w:hAnsi="宋体" w:eastAsia="宋体" w:cs="宋体"/>
          <w:lang w:val="en-US" w:eastAsia="zh-CN"/>
        </w:rPr>
        <w:t>6.8.2</w:t>
      </w:r>
      <w:r>
        <w:rPr>
          <w:rFonts w:hint="eastAsia" w:ascii="宋体" w:hAnsi="宋体" w:eastAsia="宋体" w:cs="宋体"/>
        </w:rPr>
        <w:t>的相关要求。</w:t>
      </w:r>
    </w:p>
    <w:p>
      <w:pPr>
        <w:pStyle w:val="66"/>
        <w:adjustRightInd/>
        <w:spacing w:before="0" w:beforeLines="0" w:after="0" w:afterLines="0"/>
        <w:rPr>
          <w:rFonts w:hint="eastAsia" w:ascii="宋体" w:hAnsi="宋体" w:eastAsia="宋体" w:cs="宋体"/>
        </w:rPr>
      </w:pPr>
      <w:r>
        <w:rPr>
          <w:rFonts w:hint="eastAsia" w:ascii="宋体" w:hAnsi="宋体" w:eastAsia="宋体" w:cs="宋体"/>
        </w:rPr>
        <w:t>驻车制动性能应</w:t>
      </w:r>
      <w:r>
        <w:rPr>
          <w:rFonts w:hint="eastAsia" w:ascii="宋体" w:hAnsi="宋体" w:eastAsia="宋体" w:cs="宋体"/>
          <w:lang w:val="en-US" w:eastAsia="zh-CN"/>
        </w:rPr>
        <w:t>满足</w:t>
      </w:r>
      <w:r>
        <w:rPr>
          <w:rFonts w:hint="eastAsia" w:ascii="宋体" w:hAnsi="宋体" w:eastAsia="宋体" w:cs="宋体"/>
        </w:rPr>
        <w:t xml:space="preserve">GB </w:t>
      </w:r>
      <w:r>
        <w:rPr>
          <w:rFonts w:hint="eastAsia" w:ascii="宋体" w:hAnsi="宋体" w:eastAsia="宋体" w:cs="宋体"/>
          <w:lang w:val="en-US" w:eastAsia="zh-CN"/>
        </w:rPr>
        <w:t>39800</w:t>
      </w:r>
      <w:r>
        <w:rPr>
          <w:rFonts w:hint="eastAsia" w:ascii="宋体" w:hAnsi="宋体" w:eastAsia="宋体" w:cs="宋体"/>
        </w:rPr>
        <w:t>—20</w:t>
      </w:r>
      <w:r>
        <w:rPr>
          <w:rFonts w:hint="eastAsia" w:ascii="宋体" w:hAnsi="宋体" w:eastAsia="宋体" w:cs="宋体"/>
          <w:lang w:val="en-US" w:eastAsia="zh-CN"/>
        </w:rPr>
        <w:t>20</w:t>
      </w:r>
      <w:r>
        <w:rPr>
          <w:rFonts w:hint="eastAsia" w:ascii="宋体" w:hAnsi="宋体" w:eastAsia="宋体" w:cs="宋体"/>
        </w:rPr>
        <w:t>中</w:t>
      </w:r>
      <w:r>
        <w:rPr>
          <w:rFonts w:hint="eastAsia" w:ascii="宋体" w:hAnsi="宋体" w:eastAsia="宋体" w:cs="宋体"/>
          <w:lang w:val="en-US" w:eastAsia="zh-CN"/>
        </w:rPr>
        <w:t>6.8.3</w:t>
      </w:r>
      <w:r>
        <w:rPr>
          <w:rFonts w:hint="eastAsia" w:ascii="宋体" w:hAnsi="宋体" w:eastAsia="宋体" w:cs="宋体"/>
        </w:rPr>
        <w:t>的相关要求。</w:t>
      </w:r>
    </w:p>
    <w:p>
      <w:pPr>
        <w:pStyle w:val="66"/>
        <w:adjustRightInd/>
        <w:spacing w:before="0" w:beforeLines="0" w:after="0" w:afterLines="0"/>
        <w:rPr>
          <w:rFonts w:hint="eastAsia" w:ascii="宋体" w:hAnsi="宋体" w:eastAsia="宋体" w:cs="宋体"/>
        </w:rPr>
      </w:pPr>
      <w:r>
        <w:rPr>
          <w:rFonts w:hint="eastAsia" w:ascii="宋体" w:hAnsi="宋体" w:eastAsia="宋体" w:cs="宋体"/>
        </w:rPr>
        <w:t>前照灯远光发光强度应</w:t>
      </w:r>
      <w:r>
        <w:rPr>
          <w:rFonts w:hint="eastAsia" w:ascii="宋体" w:hAnsi="宋体" w:eastAsia="宋体" w:cs="宋体"/>
          <w:lang w:val="en-US" w:eastAsia="zh-CN"/>
        </w:rPr>
        <w:t>满足</w:t>
      </w:r>
      <w:r>
        <w:rPr>
          <w:rFonts w:hint="eastAsia" w:ascii="宋体" w:hAnsi="宋体" w:eastAsia="宋体" w:cs="宋体"/>
        </w:rPr>
        <w:t xml:space="preserve">GB </w:t>
      </w:r>
      <w:r>
        <w:rPr>
          <w:rFonts w:hint="eastAsia" w:ascii="宋体" w:hAnsi="宋体" w:eastAsia="宋体" w:cs="宋体"/>
          <w:lang w:val="en-US" w:eastAsia="zh-CN"/>
        </w:rPr>
        <w:t>39800</w:t>
      </w:r>
      <w:r>
        <w:rPr>
          <w:rFonts w:hint="eastAsia" w:ascii="宋体" w:hAnsi="宋体" w:eastAsia="宋体" w:cs="宋体"/>
        </w:rPr>
        <w:t>—20</w:t>
      </w:r>
      <w:r>
        <w:rPr>
          <w:rFonts w:hint="eastAsia" w:ascii="宋体" w:hAnsi="宋体" w:eastAsia="宋体" w:cs="宋体"/>
          <w:lang w:val="en-US" w:eastAsia="zh-CN"/>
        </w:rPr>
        <w:t>20</w:t>
      </w:r>
      <w:r>
        <w:rPr>
          <w:rFonts w:hint="eastAsia" w:ascii="宋体" w:hAnsi="宋体" w:eastAsia="宋体" w:cs="宋体"/>
        </w:rPr>
        <w:t>中</w:t>
      </w:r>
      <w:r>
        <w:rPr>
          <w:rFonts w:hint="eastAsia" w:ascii="宋体" w:hAnsi="宋体" w:eastAsia="宋体" w:cs="宋体"/>
          <w:lang w:val="en-US" w:eastAsia="zh-CN"/>
        </w:rPr>
        <w:t>6.8.4</w:t>
      </w:r>
      <w:r>
        <w:rPr>
          <w:rFonts w:hint="eastAsia" w:ascii="宋体" w:hAnsi="宋体" w:eastAsia="宋体" w:cs="宋体"/>
        </w:rPr>
        <w:t>的相关要求。</w:t>
      </w:r>
    </w:p>
    <w:p>
      <w:pPr>
        <w:pStyle w:val="66"/>
        <w:adjustRightInd/>
        <w:spacing w:before="0" w:beforeLines="0" w:after="0" w:afterLines="0"/>
        <w:rPr>
          <w:rFonts w:hint="eastAsia" w:ascii="宋体" w:hAnsi="宋体" w:eastAsia="宋体" w:cs="宋体"/>
        </w:rPr>
      </w:pPr>
      <w:r>
        <w:rPr>
          <w:rFonts w:hint="eastAsia" w:ascii="宋体" w:hAnsi="宋体" w:eastAsia="宋体" w:cs="宋体"/>
        </w:rPr>
        <w:t>对前轴采用非独立悬架的汽车（包括采用双转向轴的汽车，但不包括静态轴荷大于或等于11500kg、不适用于仪器设备</w:t>
      </w:r>
      <w:r>
        <w:rPr>
          <w:rFonts w:hint="eastAsia" w:ascii="宋体" w:hAnsi="宋体" w:eastAsia="宋体" w:cs="宋体"/>
          <w:lang w:val="en-US" w:eastAsia="zh-CN"/>
        </w:rPr>
        <w:t>检查</w:t>
      </w:r>
      <w:r>
        <w:rPr>
          <w:rFonts w:hint="eastAsia" w:ascii="宋体" w:hAnsi="宋体" w:eastAsia="宋体" w:cs="宋体"/>
        </w:rPr>
        <w:t>的汽车），转向轮横向侧滑量</w:t>
      </w:r>
      <w:r>
        <w:rPr>
          <w:rFonts w:hint="eastAsia" w:ascii="宋体" w:hAnsi="宋体" w:eastAsia="宋体" w:cs="宋体"/>
          <w:lang w:val="en-US" w:eastAsia="zh-CN"/>
        </w:rPr>
        <w:t>值应小于或等于5m/km</w:t>
      </w:r>
      <w:r>
        <w:rPr>
          <w:rFonts w:hint="eastAsia" w:ascii="宋体" w:hAnsi="宋体" w:eastAsia="宋体" w:cs="宋体"/>
        </w:rPr>
        <w:t>。</w:t>
      </w:r>
    </w:p>
    <w:p>
      <w:pPr>
        <w:pStyle w:val="245"/>
      </w:pPr>
      <w:bookmarkStart w:id="151" w:name="_Toc28806"/>
      <w:bookmarkStart w:id="152" w:name="_Toc18392"/>
      <w:r>
        <w:rPr>
          <w:rFonts w:hint="eastAsia"/>
          <w:lang w:val="en-US" w:eastAsia="zh-CN"/>
        </w:rPr>
        <w:t>流程及注意事项</w:t>
      </w:r>
      <w:bookmarkEnd w:id="151"/>
      <w:bookmarkEnd w:id="152"/>
    </w:p>
    <w:p>
      <w:pPr>
        <w:pStyle w:val="106"/>
      </w:pPr>
      <w:bookmarkStart w:id="153" w:name="_Toc1859"/>
      <w:bookmarkStart w:id="154" w:name="_Toc1548"/>
      <w:r>
        <w:t>机构和</w:t>
      </w:r>
      <w:r>
        <w:rPr>
          <w:rFonts w:hint="eastAsia"/>
          <w:lang w:val="en-US" w:eastAsia="zh-CN"/>
        </w:rPr>
        <w:t>人员</w:t>
      </w:r>
      <w:r>
        <w:t>要求</w:t>
      </w:r>
      <w:bookmarkEnd w:id="145"/>
      <w:bookmarkEnd w:id="146"/>
      <w:bookmarkEnd w:id="147"/>
      <w:bookmarkEnd w:id="148"/>
      <w:bookmarkEnd w:id="149"/>
      <w:bookmarkEnd w:id="150"/>
      <w:bookmarkEnd w:id="153"/>
      <w:bookmarkEnd w:id="154"/>
    </w:p>
    <w:p>
      <w:pPr>
        <w:pStyle w:val="66"/>
        <w:spacing w:before="0" w:beforeLines="0" w:after="0" w:afterLines="0"/>
        <w:rPr>
          <w:rFonts w:hint="eastAsia" w:ascii="宋体" w:hAnsi="宋体" w:eastAsia="宋体" w:cs="宋体"/>
        </w:rPr>
      </w:pPr>
      <w:bookmarkStart w:id="155" w:name="_Toc293052517"/>
      <w:bookmarkStart w:id="156" w:name="_Toc255924878"/>
      <w:bookmarkStart w:id="157" w:name="_Toc231976054"/>
      <w:bookmarkStart w:id="158" w:name="_Toc227733384"/>
      <w:bookmarkStart w:id="159" w:name="_Toc227666291"/>
      <w:bookmarkStart w:id="160" w:name="_Toc527548841"/>
      <w:bookmarkStart w:id="161" w:name="_Toc227666333"/>
      <w:bookmarkStart w:id="162" w:name="_Toc13974"/>
      <w:bookmarkStart w:id="163" w:name="_Toc533605259"/>
      <w:bookmarkStart w:id="164" w:name="_Toc11750616"/>
      <w:r>
        <w:rPr>
          <w:rFonts w:hint="eastAsia" w:ascii="宋体" w:hAnsi="宋体" w:eastAsia="宋体" w:cs="宋体"/>
          <w:lang w:val="en-US" w:eastAsia="zh-CN"/>
        </w:rPr>
        <w:t>从事二手乘用车出口质量检查的机构应</w:t>
      </w:r>
      <w:r>
        <w:rPr>
          <w:rFonts w:hint="eastAsia" w:ascii="宋体" w:hAnsi="宋体" w:eastAsia="宋体" w:cs="宋体"/>
        </w:rPr>
        <w:t>获得有关部门</w:t>
      </w:r>
      <w:r>
        <w:rPr>
          <w:rFonts w:hint="eastAsia" w:ascii="宋体" w:hAnsi="宋体" w:eastAsia="宋体" w:cs="宋体"/>
          <w:lang w:val="en-US" w:eastAsia="zh-CN"/>
        </w:rPr>
        <w:t>认可或取得相应资质。</w:t>
      </w:r>
    </w:p>
    <w:p>
      <w:pPr>
        <w:pStyle w:val="66"/>
        <w:spacing w:before="0" w:beforeLines="0" w:after="0" w:afterLines="0"/>
        <w:rPr>
          <w:rFonts w:hint="eastAsia" w:ascii="宋体" w:hAnsi="宋体" w:eastAsia="宋体" w:cs="宋体"/>
        </w:rPr>
      </w:pPr>
      <w:r>
        <w:rPr>
          <w:rFonts w:hint="eastAsia" w:ascii="宋体" w:hAnsi="宋体" w:eastAsia="宋体" w:cs="宋体"/>
          <w:lang w:val="en-US" w:eastAsia="zh-CN"/>
        </w:rPr>
        <w:t>从事二手乘用车出口质量检查的人员应</w:t>
      </w:r>
      <w:r>
        <w:rPr>
          <w:rFonts w:hint="eastAsia" w:ascii="宋体" w:hAnsi="宋体" w:eastAsia="宋体" w:cs="宋体"/>
        </w:rPr>
        <w:t>熟悉</w:t>
      </w:r>
      <w:r>
        <w:rPr>
          <w:rFonts w:hint="eastAsia" w:ascii="宋体" w:hAnsi="宋体" w:eastAsia="宋体" w:cs="宋体"/>
          <w:lang w:val="en-US" w:eastAsia="zh-CN"/>
        </w:rPr>
        <w:t>乘用车</w:t>
      </w:r>
      <w:r>
        <w:rPr>
          <w:rFonts w:hint="eastAsia" w:ascii="宋体" w:hAnsi="宋体" w:eastAsia="宋体" w:cs="宋体"/>
        </w:rPr>
        <w:t>的技术构造</w:t>
      </w:r>
      <w:r>
        <w:rPr>
          <w:rFonts w:hint="eastAsia" w:ascii="宋体" w:hAnsi="宋体" w:eastAsia="宋体" w:cs="宋体"/>
          <w:lang w:eastAsia="zh-CN"/>
        </w:rPr>
        <w:t>，</w:t>
      </w:r>
      <w:r>
        <w:rPr>
          <w:rFonts w:hint="eastAsia" w:ascii="宋体" w:hAnsi="宋体" w:eastAsia="宋体" w:cs="宋体"/>
          <w:lang w:val="en-US" w:eastAsia="zh-CN"/>
        </w:rPr>
        <w:t>并按照4的相关要求进行作业。</w:t>
      </w:r>
    </w:p>
    <w:bookmarkEnd w:id="155"/>
    <w:bookmarkEnd w:id="156"/>
    <w:bookmarkEnd w:id="157"/>
    <w:bookmarkEnd w:id="158"/>
    <w:bookmarkEnd w:id="159"/>
    <w:bookmarkEnd w:id="160"/>
    <w:bookmarkEnd w:id="161"/>
    <w:bookmarkEnd w:id="162"/>
    <w:bookmarkEnd w:id="163"/>
    <w:bookmarkEnd w:id="164"/>
    <w:p>
      <w:pPr>
        <w:pStyle w:val="106"/>
      </w:pPr>
      <w:bookmarkStart w:id="165" w:name="_Toc27889"/>
      <w:bookmarkStart w:id="166" w:name="_Toc13349"/>
      <w:bookmarkStart w:id="167" w:name="_Toc7746"/>
      <w:bookmarkStart w:id="168" w:name="_Toc11750620"/>
      <w:bookmarkStart w:id="169" w:name="_Toc22740"/>
      <w:bookmarkStart w:id="170" w:name="_Toc293052524"/>
      <w:r>
        <w:rPr>
          <w:rFonts w:hint="eastAsia"/>
        </w:rPr>
        <w:t>流程</w:t>
      </w:r>
      <w:bookmarkEnd w:id="165"/>
      <w:bookmarkEnd w:id="166"/>
      <w:bookmarkEnd w:id="167"/>
      <w:bookmarkEnd w:id="168"/>
      <w:bookmarkEnd w:id="169"/>
    </w:p>
    <w:p>
      <w:pPr>
        <w:pStyle w:val="244"/>
      </w:pPr>
      <w:r>
        <w:rPr>
          <w:rFonts w:hint="eastAsia"/>
          <w:lang w:val="en-US" w:eastAsia="zh-CN"/>
        </w:rPr>
        <w:t>从事</w:t>
      </w:r>
      <w:r>
        <w:rPr>
          <w:rFonts w:hint="eastAsia"/>
        </w:rPr>
        <w:t>二手乘用车出口</w:t>
      </w:r>
      <w:r>
        <w:rPr>
          <w:rFonts w:hint="eastAsia" w:ascii="宋体" w:hAnsi="宋体" w:eastAsia="宋体" w:cs="宋体"/>
          <w:lang w:val="en-US" w:eastAsia="zh-CN"/>
        </w:rPr>
        <w:t>质量检查</w:t>
      </w:r>
      <w:r>
        <w:rPr>
          <w:rFonts w:hint="eastAsia"/>
          <w:lang w:val="en-US" w:eastAsia="zh-CN"/>
        </w:rPr>
        <w:t>的</w:t>
      </w:r>
      <w:r>
        <w:rPr>
          <w:rFonts w:hint="eastAsia"/>
        </w:rPr>
        <w:t>机构</w:t>
      </w:r>
      <w:r>
        <w:rPr>
          <w:rFonts w:hint="eastAsia"/>
          <w:lang w:val="en-US" w:eastAsia="zh-CN"/>
        </w:rPr>
        <w:t>应</w:t>
      </w:r>
      <w:r>
        <w:rPr>
          <w:rFonts w:hint="eastAsia"/>
        </w:rPr>
        <w:t>按图</w:t>
      </w:r>
      <w:r>
        <w:rPr>
          <w:rFonts w:hint="eastAsia"/>
          <w:lang w:val="en-US" w:eastAsia="zh-CN"/>
        </w:rPr>
        <w:t>2</w:t>
      </w:r>
      <w:r>
        <w:rPr>
          <w:rFonts w:hint="eastAsia"/>
        </w:rPr>
        <w:t>所示流程作业。</w:t>
      </w:r>
    </w:p>
    <w:p>
      <w:pPr>
        <w:spacing w:line="240" w:lineRule="auto"/>
        <w:jc w:val="center"/>
        <w:rPr>
          <w:b/>
          <w:sz w:val="24"/>
        </w:rPr>
      </w:pPr>
      <w:r>
        <w:rPr>
          <w:rFonts w:ascii="宋体" w:hAnsi="宋体"/>
        </w:rPr>
        <w:object>
          <v:shape id="_x0000_i1025" o:spt="75" type="#_x0000_t75" style="height:323.55pt;width:364.45pt;" o:ole="t" filled="f" o:preferrelative="t" stroked="f" coordsize="21600,21600">
            <v:path/>
            <v:fill on="f" focussize="0,0"/>
            <v:stroke on="f"/>
            <v:imagedata r:id="rId19" o:title=""/>
            <o:lock v:ext="edit" aspectratio="t"/>
            <w10:wrap type="none"/>
            <w10:anchorlock/>
          </v:shape>
          <o:OLEObject Type="Embed" ProgID="Visio.Drawing.15" ShapeID="_x0000_i1025" DrawAspect="Content" ObjectID="_1468075725" r:id="rId18">
            <o:LockedField>false</o:LockedField>
          </o:OLEObject>
        </w:object>
      </w:r>
    </w:p>
    <w:p>
      <w:pPr>
        <w:pStyle w:val="249"/>
        <w:numPr>
          <w:ilvl w:val="0"/>
          <w:numId w:val="0"/>
        </w:numPr>
        <w:spacing w:before="156" w:after="156"/>
        <w:ind w:leftChars="0"/>
        <w:jc w:val="center"/>
      </w:pPr>
      <w:r>
        <w:rPr>
          <w:rFonts w:hint="eastAsia"/>
          <w:lang w:val="en-US" w:eastAsia="zh-CN"/>
        </w:rPr>
        <w:t>图</w:t>
      </w:r>
      <w:r>
        <w:rPr>
          <w:rFonts w:hint="eastAsia" w:ascii="黑体" w:hAnsi="黑体" w:cs="黑体"/>
          <w:lang w:val="en-US" w:eastAsia="zh-CN"/>
        </w:rPr>
        <w:t>2</w:t>
      </w:r>
      <w:r>
        <w:rPr>
          <w:rFonts w:hint="eastAsia"/>
          <w:lang w:val="en-US" w:eastAsia="zh-CN"/>
        </w:rPr>
        <w:t>　</w:t>
      </w:r>
      <w:r>
        <w:t>二手乘用车出口</w:t>
      </w:r>
      <w:r>
        <w:rPr>
          <w:rFonts w:hint="eastAsia"/>
          <w:lang w:val="en-US" w:eastAsia="zh-CN"/>
        </w:rPr>
        <w:t>质量检查</w:t>
      </w:r>
      <w:r>
        <w:t>流程</w:t>
      </w:r>
    </w:p>
    <w:p>
      <w:pPr>
        <w:pStyle w:val="106"/>
      </w:pPr>
      <w:bookmarkStart w:id="171" w:name="_Toc533605266"/>
      <w:bookmarkStart w:id="172" w:name="_Toc10453"/>
      <w:bookmarkStart w:id="173" w:name="_Toc527548847"/>
      <w:bookmarkStart w:id="174" w:name="_Toc11750622"/>
      <w:bookmarkStart w:id="175" w:name="_Toc22990"/>
      <w:r>
        <w:t>受理申请</w:t>
      </w:r>
      <w:bookmarkEnd w:id="171"/>
      <w:bookmarkEnd w:id="172"/>
      <w:bookmarkEnd w:id="173"/>
      <w:bookmarkEnd w:id="174"/>
      <w:bookmarkEnd w:id="175"/>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申请人提交申请，报送车辆基本信息和机动车行驶证（或临时行驶车号牌）、机动车登记证书复印件。车辆基本信息包括车辆识别代号、动力类型（传统燃油汽车、新能源汽车）、发动机号和/或驱动电机号码、车辆类型、品牌、型号、生产厂家、出厂日期、初次登记日期、车辆使用性质（营运、非营运）、表征行驶里程等。</w:t>
      </w:r>
    </w:p>
    <w:p>
      <w:pPr>
        <w:pStyle w:val="66"/>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机构受理申请，通知申请人车辆送检。</w:t>
      </w:r>
    </w:p>
    <w:p>
      <w:pPr>
        <w:pStyle w:val="106"/>
      </w:pPr>
      <w:bookmarkStart w:id="176" w:name="_Toc16939"/>
      <w:bookmarkStart w:id="177" w:name="_Toc2888"/>
      <w:bookmarkStart w:id="178" w:name="_Toc533605267"/>
      <w:bookmarkStart w:id="179" w:name="_Toc527548848"/>
      <w:bookmarkStart w:id="180" w:name="_Toc11750623"/>
      <w:r>
        <w:t>车辆核查</w:t>
      </w:r>
      <w:bookmarkEnd w:id="170"/>
      <w:bookmarkEnd w:id="176"/>
      <w:bookmarkEnd w:id="177"/>
      <w:bookmarkEnd w:id="178"/>
      <w:bookmarkEnd w:id="179"/>
      <w:bookmarkEnd w:id="180"/>
    </w:p>
    <w:p>
      <w:pPr>
        <w:pStyle w:val="244"/>
      </w:pPr>
      <w:r>
        <w:rPr>
          <w:rFonts w:hint="eastAsia"/>
        </w:rPr>
        <w:t>核查</w:t>
      </w:r>
      <w:r>
        <w:t>车辆及其证件信息，</w:t>
      </w:r>
      <w:r>
        <w:rPr>
          <w:rFonts w:hint="eastAsia" w:ascii="宋体" w:hAnsi="宋体" w:eastAsia="宋体" w:cs="宋体"/>
        </w:rPr>
        <w:t>参照附录A填写二手乘用车出口</w:t>
      </w:r>
      <w:r>
        <w:rPr>
          <w:rFonts w:hint="eastAsia" w:ascii="宋体" w:hAnsi="宋体" w:eastAsia="宋体" w:cs="宋体"/>
          <w:lang w:val="en-US" w:eastAsia="zh-CN"/>
        </w:rPr>
        <w:t>质量报告</w:t>
      </w:r>
      <w:r>
        <w:rPr>
          <w:rFonts w:hint="eastAsia" w:ascii="宋体" w:hAnsi="宋体" w:eastAsia="宋体" w:cs="宋体"/>
        </w:rPr>
        <w:t>作业表。</w:t>
      </w:r>
      <w:r>
        <w:t>如发现</w:t>
      </w:r>
      <w:r>
        <w:rPr>
          <w:rFonts w:hint="eastAsia"/>
          <w:lang w:val="en-US" w:eastAsia="zh-CN"/>
        </w:rPr>
        <w:t>不</w:t>
      </w:r>
      <w:r>
        <w:t>符合</w:t>
      </w:r>
      <w:r>
        <w:rPr>
          <w:rFonts w:hint="eastAsia"/>
          <w:lang w:val="en-US" w:eastAsia="zh-CN"/>
        </w:rPr>
        <w:t>4.1的相关要求</w:t>
      </w:r>
      <w:r>
        <w:t>，则出具</w:t>
      </w:r>
      <w:r>
        <w:rPr>
          <w:rFonts w:hint="eastAsia"/>
          <w:lang w:val="en-US" w:eastAsia="zh-CN"/>
        </w:rPr>
        <w:t>质量</w:t>
      </w:r>
      <w:r>
        <w:t>不合格报告。</w:t>
      </w:r>
    </w:p>
    <w:p>
      <w:pPr>
        <w:pStyle w:val="106"/>
      </w:pPr>
      <w:bookmarkStart w:id="181" w:name="_Toc9354614"/>
      <w:bookmarkEnd w:id="181"/>
      <w:bookmarkStart w:id="182" w:name="_Toc24073"/>
      <w:bookmarkStart w:id="183" w:name="_Toc11750624"/>
      <w:bookmarkStart w:id="184" w:name="_Toc14270"/>
      <w:r>
        <w:t>重大事故车判别</w:t>
      </w:r>
      <w:bookmarkEnd w:id="182"/>
      <w:bookmarkEnd w:id="183"/>
      <w:bookmarkEnd w:id="184"/>
    </w:p>
    <w:p>
      <w:pPr>
        <w:pStyle w:val="244"/>
        <w:rPr>
          <w:rFonts w:cs="Times New Roman"/>
        </w:rPr>
      </w:pPr>
      <w:bookmarkStart w:id="185" w:name="_Toc533605269"/>
      <w:bookmarkStart w:id="186" w:name="_Toc533695434"/>
      <w:r>
        <w:rPr>
          <w:rFonts w:hint="eastAsia" w:cs="Times New Roman"/>
          <w:lang w:val="en-US" w:eastAsia="zh-CN"/>
        </w:rPr>
        <w:t>判别</w:t>
      </w:r>
      <w:r>
        <w:rPr>
          <w:rFonts w:cs="Times New Roman"/>
        </w:rPr>
        <w:t>车辆是否发生过严重撞击、泡水、火烧等重大事故，</w:t>
      </w:r>
      <w:r>
        <w:rPr>
          <w:rFonts w:hint="eastAsia" w:ascii="宋体" w:hAnsi="宋体" w:eastAsia="宋体" w:cs="宋体"/>
        </w:rPr>
        <w:t>参照附录A填写二手乘用车出口</w:t>
      </w:r>
      <w:r>
        <w:rPr>
          <w:rFonts w:hint="eastAsia" w:ascii="宋体" w:hAnsi="宋体" w:eastAsia="宋体" w:cs="宋体"/>
          <w:lang w:val="en-US" w:eastAsia="zh-CN"/>
        </w:rPr>
        <w:t>质量报告</w:t>
      </w:r>
      <w:r>
        <w:rPr>
          <w:rFonts w:hint="eastAsia" w:ascii="宋体" w:hAnsi="宋体" w:eastAsia="宋体" w:cs="宋体"/>
        </w:rPr>
        <w:t>作业表。</w:t>
      </w:r>
      <w:r>
        <w:rPr>
          <w:rFonts w:cs="Times New Roman"/>
        </w:rPr>
        <w:t>如发现</w:t>
      </w:r>
      <w:r>
        <w:rPr>
          <w:rFonts w:hint="eastAsia" w:cs="Times New Roman"/>
          <w:lang w:val="en-US" w:eastAsia="zh-CN"/>
        </w:rPr>
        <w:t>不</w:t>
      </w:r>
      <w:r>
        <w:rPr>
          <w:rFonts w:cs="Times New Roman"/>
        </w:rPr>
        <w:t>符合</w:t>
      </w:r>
      <w:r>
        <w:rPr>
          <w:rFonts w:hint="eastAsia" w:cs="Times New Roman"/>
          <w:lang w:val="en-US" w:eastAsia="zh-CN"/>
        </w:rPr>
        <w:t>4.2的相关要求</w:t>
      </w:r>
      <w:r>
        <w:rPr>
          <w:rFonts w:cs="Times New Roman"/>
        </w:rPr>
        <w:t>，则认定车辆为重大事故车，出具</w:t>
      </w:r>
      <w:r>
        <w:rPr>
          <w:rFonts w:hint="eastAsia" w:cs="Times New Roman"/>
          <w:lang w:val="en-US" w:eastAsia="zh-CN"/>
        </w:rPr>
        <w:t>质量</w:t>
      </w:r>
      <w:r>
        <w:rPr>
          <w:rFonts w:cs="Times New Roman"/>
        </w:rPr>
        <w:t>不合格报告。</w:t>
      </w:r>
    </w:p>
    <w:bookmarkEnd w:id="185"/>
    <w:bookmarkEnd w:id="186"/>
    <w:p>
      <w:pPr>
        <w:pStyle w:val="106"/>
      </w:pPr>
      <w:bookmarkStart w:id="187" w:name="_Toc11677708"/>
      <w:bookmarkEnd w:id="187"/>
      <w:bookmarkStart w:id="188" w:name="_Toc9408"/>
      <w:bookmarkStart w:id="189" w:name="_Toc11750626"/>
      <w:bookmarkStart w:id="190" w:name="_Toc5666"/>
      <w:bookmarkStart w:id="191" w:name="_Toc227733395"/>
      <w:bookmarkStart w:id="192" w:name="_Toc293052532"/>
      <w:bookmarkStart w:id="193" w:name="_Toc227666344"/>
      <w:bookmarkStart w:id="194" w:name="_Toc227666302"/>
      <w:bookmarkStart w:id="195" w:name="_Toc231976064"/>
      <w:bookmarkStart w:id="196" w:name="_Toc255924891"/>
      <w:r>
        <w:rPr>
          <w:rFonts w:hint="default"/>
          <w:lang w:val="en-US" w:eastAsia="zh-CN"/>
        </w:rPr>
        <w:t>技术</w:t>
      </w:r>
      <w:r>
        <w:rPr>
          <w:rFonts w:hint="eastAsia"/>
          <w:lang w:val="en-US" w:eastAsia="zh-CN"/>
        </w:rPr>
        <w:t>检查</w:t>
      </w:r>
      <w:bookmarkEnd w:id="188"/>
    </w:p>
    <w:p>
      <w:pPr>
        <w:pStyle w:val="244"/>
        <w:spacing w:before="0" w:after="0"/>
        <w:rPr>
          <w:rFonts w:hint="default"/>
          <w:lang w:val="en-US" w:eastAsia="zh-CN"/>
        </w:rPr>
      </w:pPr>
      <w:r>
        <w:rPr>
          <w:rFonts w:hint="default"/>
          <w:lang w:val="en-US" w:eastAsia="zh-CN"/>
        </w:rPr>
        <w:t>按照4.3</w:t>
      </w:r>
      <w:r>
        <w:rPr>
          <w:rFonts w:hint="eastAsia" w:ascii="宋体" w:hAnsi="宋体"/>
        </w:rPr>
        <w:t>～</w:t>
      </w:r>
      <w:r>
        <w:rPr>
          <w:rFonts w:hint="default"/>
          <w:lang w:val="en-US" w:eastAsia="zh-CN"/>
        </w:rPr>
        <w:t>4.8的相关要求对车辆进行技术</w:t>
      </w:r>
      <w:r>
        <w:rPr>
          <w:rFonts w:hint="eastAsia"/>
          <w:lang w:val="en-US" w:eastAsia="zh-CN"/>
        </w:rPr>
        <w:t>检查，</w:t>
      </w:r>
      <w:r>
        <w:rPr>
          <w:rFonts w:hint="eastAsia" w:ascii="宋体" w:hAnsi="宋体" w:eastAsia="宋体" w:cs="宋体"/>
        </w:rPr>
        <w:t>参照附录A填写二手乘用车出口</w:t>
      </w:r>
      <w:r>
        <w:rPr>
          <w:rFonts w:hint="eastAsia" w:ascii="宋体" w:hAnsi="宋体" w:eastAsia="宋体" w:cs="宋体"/>
          <w:lang w:val="en-US" w:eastAsia="zh-CN"/>
        </w:rPr>
        <w:t>质量报告</w:t>
      </w:r>
      <w:r>
        <w:rPr>
          <w:rFonts w:hint="eastAsia" w:ascii="宋体" w:hAnsi="宋体" w:eastAsia="宋体" w:cs="宋体"/>
        </w:rPr>
        <w:t>作业表。</w:t>
      </w:r>
      <w:r>
        <w:rPr>
          <w:rFonts w:hint="eastAsia"/>
          <w:lang w:val="en-US" w:eastAsia="zh-CN"/>
        </w:rPr>
        <w:t>其中，</w:t>
      </w:r>
      <w:r>
        <w:t>车辆</w:t>
      </w:r>
      <w:r>
        <w:rPr>
          <w:rFonts w:hint="eastAsia"/>
          <w:lang w:val="en-US" w:eastAsia="zh-CN"/>
        </w:rPr>
        <w:t>年检</w:t>
      </w:r>
      <w:r>
        <w:t>在有效期内的免于本</w:t>
      </w:r>
      <w:r>
        <w:rPr>
          <w:rFonts w:hint="eastAsia"/>
        </w:rPr>
        <w:t>标准中</w:t>
      </w:r>
      <w:r>
        <w:rPr>
          <w:rFonts w:hint="eastAsia"/>
          <w:lang w:val="en-US" w:eastAsia="zh-CN"/>
        </w:rPr>
        <w:t>4.8</w:t>
      </w:r>
      <w:r>
        <w:rPr>
          <w:rFonts w:hint="eastAsia"/>
        </w:rPr>
        <w:t>的</w:t>
      </w:r>
      <w:r>
        <w:rPr>
          <w:rFonts w:hint="eastAsia"/>
          <w:lang w:val="en-US" w:eastAsia="zh-CN"/>
        </w:rPr>
        <w:t>质量检查</w:t>
      </w:r>
      <w:r>
        <w:rPr>
          <w:rFonts w:hint="eastAsia"/>
        </w:rPr>
        <w:t>。</w:t>
      </w:r>
    </w:p>
    <w:p>
      <w:pPr>
        <w:pStyle w:val="106"/>
      </w:pPr>
      <w:bookmarkStart w:id="197" w:name="_Toc30227"/>
      <w:r>
        <w:rPr>
          <w:rFonts w:hint="eastAsia"/>
        </w:rPr>
        <w:t>照片拍摄</w:t>
      </w:r>
      <w:bookmarkEnd w:id="189"/>
      <w:bookmarkEnd w:id="190"/>
      <w:bookmarkEnd w:id="197"/>
    </w:p>
    <w:p>
      <w:pPr>
        <w:pStyle w:val="66"/>
        <w:spacing w:before="156" w:after="156"/>
      </w:pPr>
      <w:r>
        <w:rPr>
          <w:rFonts w:hint="eastAsia"/>
        </w:rPr>
        <w:t>车辆基本信息照片</w:t>
      </w:r>
    </w:p>
    <w:p>
      <w:pPr>
        <w:pStyle w:val="244"/>
      </w:pPr>
      <w:r>
        <w:rPr>
          <w:rFonts w:hint="eastAsia"/>
        </w:rPr>
        <w:t>拍摄</w:t>
      </w:r>
      <w:r>
        <w:t>车辆识别代号</w:t>
      </w:r>
      <w:r>
        <w:rPr>
          <w:rFonts w:hint="eastAsia"/>
        </w:rPr>
        <w:t>、</w:t>
      </w:r>
      <w:r>
        <w:t>发动机号</w:t>
      </w:r>
      <w:r>
        <w:rPr>
          <w:rFonts w:hint="eastAsia"/>
        </w:rPr>
        <w:t>/驱动电机号码、</w:t>
      </w:r>
      <w:r>
        <w:rPr>
          <w:rFonts w:cs="Times New Roman"/>
        </w:rPr>
        <w:t>里程表照片各1张</w:t>
      </w:r>
      <w:r>
        <w:rPr>
          <w:rFonts w:hint="eastAsia"/>
        </w:rPr>
        <w:t>。</w:t>
      </w:r>
    </w:p>
    <w:p>
      <w:pPr>
        <w:pStyle w:val="66"/>
        <w:spacing w:before="156" w:after="156"/>
      </w:pPr>
      <w:r>
        <w:t>外观</w:t>
      </w:r>
      <w:r>
        <w:rPr>
          <w:rFonts w:hint="eastAsia"/>
        </w:rPr>
        <w:t>照片</w:t>
      </w:r>
    </w:p>
    <w:p>
      <w:pPr>
        <w:pStyle w:val="244"/>
      </w:pPr>
      <w:r>
        <w:rPr>
          <w:rFonts w:hint="eastAsia"/>
        </w:rPr>
        <w:t>拍摄</w:t>
      </w:r>
      <w:r>
        <w:t>车辆左前部与右后</w:t>
      </w:r>
      <w:r>
        <w:rPr>
          <w:rFonts w:cs="Times New Roman"/>
        </w:rPr>
        <w:t>部45°照片各1张。</w:t>
      </w:r>
    </w:p>
    <w:p>
      <w:pPr>
        <w:pStyle w:val="66"/>
        <w:spacing w:before="156" w:after="156"/>
      </w:pPr>
      <w:r>
        <w:t>发动机舱</w:t>
      </w:r>
      <w:r>
        <w:rPr>
          <w:rFonts w:hint="eastAsia"/>
        </w:rPr>
        <w:t>照片</w:t>
      </w:r>
    </w:p>
    <w:p>
      <w:pPr>
        <w:pStyle w:val="244"/>
      </w:pPr>
      <w:r>
        <w:t>拍摄发动机舱整体照</w:t>
      </w:r>
      <w:r>
        <w:rPr>
          <w:rFonts w:cs="Times New Roman"/>
        </w:rPr>
        <w:t>片1张。</w:t>
      </w:r>
    </w:p>
    <w:p>
      <w:pPr>
        <w:pStyle w:val="66"/>
        <w:spacing w:before="156" w:after="156"/>
      </w:pPr>
      <w:r>
        <w:t>驾驶</w:t>
      </w:r>
      <w:r>
        <w:rPr>
          <w:rFonts w:hint="eastAsia"/>
        </w:rPr>
        <w:t>室</w:t>
      </w:r>
      <w:r>
        <w:t>照片</w:t>
      </w:r>
    </w:p>
    <w:p>
      <w:pPr>
        <w:pStyle w:val="244"/>
      </w:pPr>
      <w:r>
        <w:rPr>
          <w:rFonts w:hint="eastAsia"/>
        </w:rPr>
        <w:t>拍摄</w:t>
      </w:r>
      <w:r>
        <w:t>仪表台、前排座椅、后排座椅</w:t>
      </w:r>
      <w:r>
        <w:rPr>
          <w:rFonts w:cs="Times New Roman"/>
        </w:rPr>
        <w:t>照片各1张。</w:t>
      </w:r>
    </w:p>
    <w:p>
      <w:pPr>
        <w:pStyle w:val="66"/>
        <w:spacing w:before="156" w:after="156"/>
      </w:pPr>
      <w:r>
        <w:rPr>
          <w:rFonts w:hint="eastAsia"/>
        </w:rPr>
        <w:t>底盘照片</w:t>
      </w:r>
    </w:p>
    <w:p>
      <w:pPr>
        <w:pStyle w:val="244"/>
      </w:pPr>
      <w:r>
        <w:t>拍摄底盘整体</w:t>
      </w:r>
      <w:r>
        <w:rPr>
          <w:rFonts w:hint="eastAsia"/>
        </w:rPr>
        <w:t>照片</w:t>
      </w:r>
      <w:r>
        <w:t>1张。</w:t>
      </w:r>
    </w:p>
    <w:p>
      <w:pPr>
        <w:pStyle w:val="66"/>
        <w:spacing w:before="156" w:after="156"/>
      </w:pPr>
      <w:r>
        <w:rPr>
          <w:rFonts w:hint="eastAsia"/>
        </w:rPr>
        <w:t>其他照片</w:t>
      </w:r>
    </w:p>
    <w:p>
      <w:pPr>
        <w:pStyle w:val="244"/>
      </w:pPr>
      <w:r>
        <w:rPr>
          <w:rFonts w:hint="eastAsia"/>
          <w:lang w:val="en-US" w:eastAsia="zh-CN"/>
        </w:rPr>
        <w:t>作业人员</w:t>
      </w:r>
      <w:r>
        <w:t>认为</w:t>
      </w:r>
      <w:r>
        <w:rPr>
          <w:rFonts w:hint="eastAsia"/>
        </w:rPr>
        <w:t>需要</w:t>
      </w:r>
      <w:r>
        <w:t>拍摄的其他部位照片。</w:t>
      </w:r>
    </w:p>
    <w:p>
      <w:pPr>
        <w:pStyle w:val="106"/>
      </w:pPr>
      <w:bookmarkStart w:id="198" w:name="_Toc11677710"/>
      <w:bookmarkEnd w:id="198"/>
      <w:bookmarkStart w:id="199" w:name="_Toc11677711"/>
      <w:bookmarkEnd w:id="199"/>
      <w:bookmarkStart w:id="200" w:name="_Toc29792"/>
      <w:bookmarkStart w:id="201" w:name="_Toc10754"/>
      <w:bookmarkStart w:id="202" w:name="_Toc11750627"/>
      <w:bookmarkStart w:id="203" w:name="_Toc16980"/>
      <w:r>
        <w:t>出具</w:t>
      </w:r>
      <w:r>
        <w:rPr>
          <w:rFonts w:hint="eastAsia"/>
          <w:lang w:val="en-US" w:eastAsia="zh-CN"/>
        </w:rPr>
        <w:t>质量</w:t>
      </w:r>
      <w:r>
        <w:t>报告</w:t>
      </w:r>
      <w:bookmarkEnd w:id="200"/>
      <w:bookmarkEnd w:id="201"/>
      <w:bookmarkEnd w:id="202"/>
      <w:bookmarkEnd w:id="203"/>
    </w:p>
    <w:p>
      <w:pPr>
        <w:pStyle w:val="6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车辆</w:t>
      </w:r>
      <w:r>
        <w:rPr>
          <w:rFonts w:hint="eastAsia" w:ascii="宋体" w:hAnsi="宋体" w:eastAsia="宋体" w:cs="宋体"/>
          <w:lang w:val="en-US" w:eastAsia="zh-CN"/>
        </w:rPr>
        <w:t>质量检查</w:t>
      </w:r>
      <w:r>
        <w:rPr>
          <w:rFonts w:hint="eastAsia" w:ascii="宋体" w:hAnsi="宋体" w:eastAsia="宋体" w:cs="宋体"/>
        </w:rPr>
        <w:t>完成后，参照附录B填写二手乘用车出口</w:t>
      </w:r>
      <w:r>
        <w:rPr>
          <w:rFonts w:hint="eastAsia" w:ascii="宋体" w:hAnsi="宋体" w:eastAsia="宋体" w:cs="宋体"/>
          <w:lang w:val="en-US" w:eastAsia="zh-CN"/>
        </w:rPr>
        <w:t>质量</w:t>
      </w:r>
      <w:r>
        <w:rPr>
          <w:rFonts w:hint="eastAsia" w:ascii="宋体" w:hAnsi="宋体" w:eastAsia="宋体" w:cs="宋体"/>
        </w:rPr>
        <w:t>报告。</w:t>
      </w:r>
    </w:p>
    <w:p>
      <w:pPr>
        <w:pStyle w:val="6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二手乘用车出口</w:t>
      </w:r>
      <w:r>
        <w:rPr>
          <w:rFonts w:hint="eastAsia" w:ascii="宋体" w:hAnsi="宋体" w:eastAsia="宋体" w:cs="宋体"/>
          <w:lang w:val="en-US" w:eastAsia="zh-CN"/>
        </w:rPr>
        <w:t>质量</w:t>
      </w:r>
      <w:r>
        <w:rPr>
          <w:rFonts w:hint="eastAsia" w:ascii="宋体" w:hAnsi="宋体" w:eastAsia="宋体" w:cs="宋体"/>
        </w:rPr>
        <w:t>报告结果分为合格、不合格。</w:t>
      </w:r>
      <w:r>
        <w:rPr>
          <w:rFonts w:hint="eastAsia" w:ascii="宋体" w:hAnsi="宋体" w:eastAsia="宋体" w:cs="宋体"/>
          <w:lang w:val="en-US" w:eastAsia="zh-CN"/>
        </w:rPr>
        <w:t>质量要求</w:t>
      </w:r>
      <w:r>
        <w:rPr>
          <w:rFonts w:hint="eastAsia" w:ascii="宋体" w:hAnsi="宋体" w:eastAsia="宋体" w:cs="宋体"/>
        </w:rPr>
        <w:t>中所有项目均合格的，判定为合格，否则判定为不合格。</w:t>
      </w:r>
    </w:p>
    <w:p>
      <w:pPr>
        <w:pStyle w:val="6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授权签字人在二手乘用车出口</w:t>
      </w:r>
      <w:r>
        <w:rPr>
          <w:rFonts w:hint="eastAsia" w:ascii="宋体" w:hAnsi="宋体" w:eastAsia="宋体" w:cs="宋体"/>
          <w:lang w:val="en-US" w:eastAsia="zh-CN"/>
        </w:rPr>
        <w:t>质量</w:t>
      </w:r>
      <w:r>
        <w:rPr>
          <w:rFonts w:hint="eastAsia" w:ascii="宋体" w:hAnsi="宋体" w:eastAsia="宋体" w:cs="宋体"/>
        </w:rPr>
        <w:t>报告上签字并加盖机构公章。</w:t>
      </w:r>
    </w:p>
    <w:p>
      <w:pPr>
        <w:pStyle w:val="66"/>
        <w:keepNext w:val="0"/>
        <w:keepLines w:val="0"/>
        <w:pageBreakBefore w:val="0"/>
        <w:widowControl/>
        <w:kinsoku/>
        <w:wordWrap/>
        <w:overflowPunct/>
        <w:topLinePunct w:val="0"/>
        <w:autoSpaceDE/>
        <w:autoSpaceDN/>
        <w:bidi w:val="0"/>
        <w:adjustRightInd/>
        <w:snapToGrid/>
        <w:spacing w:before="0" w:beforeLines="0" w:after="0" w:afterLines="0"/>
        <w:textAlignment w:val="auto"/>
        <w:rPr>
          <w:rFonts w:hint="eastAsia" w:ascii="宋体" w:hAnsi="宋体" w:eastAsia="宋体" w:cs="宋体"/>
        </w:rPr>
      </w:pPr>
      <w:r>
        <w:rPr>
          <w:rFonts w:hint="eastAsia" w:ascii="宋体" w:hAnsi="宋体" w:eastAsia="宋体" w:cs="宋体"/>
        </w:rPr>
        <w:t>二手乘用车出口</w:t>
      </w:r>
      <w:r>
        <w:rPr>
          <w:rFonts w:hint="eastAsia" w:ascii="宋体" w:hAnsi="宋体" w:eastAsia="宋体" w:cs="宋体"/>
          <w:lang w:val="en-US" w:eastAsia="zh-CN"/>
        </w:rPr>
        <w:t>质量</w:t>
      </w:r>
      <w:r>
        <w:rPr>
          <w:rFonts w:hint="eastAsia" w:ascii="宋体" w:hAnsi="宋体" w:eastAsia="宋体" w:cs="宋体"/>
        </w:rPr>
        <w:t>报告有效期为4个月，到期后自动失效。</w:t>
      </w:r>
    </w:p>
    <w:p>
      <w:pPr>
        <w:pStyle w:val="106"/>
      </w:pPr>
      <w:bookmarkStart w:id="204" w:name="_Toc32759"/>
      <w:bookmarkStart w:id="205" w:name="_Toc15003"/>
      <w:bookmarkStart w:id="206" w:name="_Toc11750628"/>
      <w:bookmarkStart w:id="207" w:name="_Toc11064"/>
      <w:r>
        <w:rPr>
          <w:rFonts w:hint="eastAsia"/>
        </w:rPr>
        <w:t>文件</w:t>
      </w:r>
      <w:r>
        <w:t>归档</w:t>
      </w:r>
      <w:bookmarkEnd w:id="191"/>
      <w:bookmarkEnd w:id="192"/>
      <w:bookmarkEnd w:id="193"/>
      <w:bookmarkEnd w:id="194"/>
      <w:bookmarkEnd w:id="195"/>
      <w:bookmarkEnd w:id="196"/>
      <w:bookmarkEnd w:id="204"/>
      <w:bookmarkEnd w:id="205"/>
      <w:bookmarkEnd w:id="206"/>
      <w:bookmarkEnd w:id="207"/>
    </w:p>
    <w:p>
      <w:pPr>
        <w:pStyle w:val="244"/>
      </w:pPr>
      <w:bookmarkStart w:id="208" w:name="_Toc11498836"/>
      <w:bookmarkEnd w:id="208"/>
      <w:bookmarkStart w:id="209" w:name="_Toc11498837"/>
      <w:bookmarkEnd w:id="209"/>
      <w:bookmarkStart w:id="210" w:name="_Toc11423191"/>
      <w:bookmarkEnd w:id="210"/>
      <w:bookmarkStart w:id="211" w:name="_Toc11324193"/>
      <w:bookmarkEnd w:id="211"/>
      <w:bookmarkStart w:id="212" w:name="_Toc11323608"/>
      <w:bookmarkEnd w:id="212"/>
      <w:bookmarkStart w:id="213" w:name="_Toc11323607"/>
      <w:bookmarkEnd w:id="213"/>
      <w:bookmarkStart w:id="214" w:name="_Toc11498832"/>
      <w:bookmarkEnd w:id="214"/>
      <w:bookmarkStart w:id="215" w:name="_Toc11324190"/>
      <w:bookmarkEnd w:id="215"/>
      <w:bookmarkStart w:id="216" w:name="_Toc11323609"/>
      <w:bookmarkEnd w:id="216"/>
      <w:bookmarkStart w:id="217" w:name="_Toc11423197"/>
      <w:bookmarkEnd w:id="217"/>
      <w:bookmarkStart w:id="218" w:name="_Toc11498835"/>
      <w:bookmarkEnd w:id="218"/>
      <w:bookmarkStart w:id="219" w:name="_Toc11498838"/>
      <w:bookmarkEnd w:id="219"/>
      <w:bookmarkStart w:id="220" w:name="_Toc11323614"/>
      <w:bookmarkEnd w:id="220"/>
      <w:bookmarkStart w:id="221" w:name="_Toc9354627"/>
      <w:bookmarkEnd w:id="221"/>
      <w:bookmarkStart w:id="222" w:name="_Toc11423196"/>
      <w:bookmarkEnd w:id="222"/>
      <w:bookmarkStart w:id="223" w:name="_Toc11324192"/>
      <w:bookmarkEnd w:id="223"/>
      <w:bookmarkStart w:id="224" w:name="_Toc11423194"/>
      <w:bookmarkEnd w:id="224"/>
      <w:bookmarkStart w:id="225" w:name="_Toc11324191"/>
      <w:bookmarkEnd w:id="225"/>
      <w:bookmarkStart w:id="226" w:name="_Toc11423195"/>
      <w:bookmarkEnd w:id="226"/>
      <w:bookmarkStart w:id="227" w:name="_Toc11324195"/>
      <w:bookmarkEnd w:id="227"/>
      <w:bookmarkStart w:id="228" w:name="_Toc11498843"/>
      <w:bookmarkEnd w:id="228"/>
      <w:bookmarkStart w:id="229" w:name="_Toc11323605"/>
      <w:bookmarkEnd w:id="229"/>
      <w:bookmarkStart w:id="230" w:name="_Toc11324194"/>
      <w:bookmarkEnd w:id="230"/>
      <w:bookmarkStart w:id="231" w:name="_Toc11498833"/>
      <w:bookmarkEnd w:id="231"/>
      <w:bookmarkStart w:id="232" w:name="_Toc11498834"/>
      <w:bookmarkEnd w:id="232"/>
      <w:bookmarkStart w:id="233" w:name="_Toc11423201"/>
      <w:bookmarkEnd w:id="233"/>
      <w:bookmarkStart w:id="234" w:name="_Toc11323606"/>
      <w:bookmarkEnd w:id="234"/>
      <w:bookmarkStart w:id="235" w:name="_Toc9354626"/>
      <w:bookmarkEnd w:id="235"/>
      <w:bookmarkStart w:id="236" w:name="_Toc11498839"/>
      <w:bookmarkEnd w:id="236"/>
      <w:bookmarkStart w:id="237" w:name="_Toc11323604"/>
      <w:bookmarkEnd w:id="237"/>
      <w:bookmarkStart w:id="238" w:name="_Toc11423192"/>
      <w:bookmarkEnd w:id="238"/>
      <w:bookmarkStart w:id="239" w:name="_Toc11324199"/>
      <w:bookmarkEnd w:id="239"/>
      <w:bookmarkStart w:id="240" w:name="_Toc11324189"/>
      <w:bookmarkEnd w:id="240"/>
      <w:bookmarkStart w:id="241" w:name="_Toc11423193"/>
      <w:bookmarkEnd w:id="241"/>
      <w:bookmarkStart w:id="242" w:name="_Toc11323610"/>
      <w:bookmarkEnd w:id="242"/>
      <w:r>
        <w:t>二手</w:t>
      </w:r>
      <w:r>
        <w:rPr>
          <w:rFonts w:hint="eastAsia"/>
        </w:rPr>
        <w:t>乘用</w:t>
      </w:r>
      <w:r>
        <w:t>车出口</w:t>
      </w:r>
      <w:r>
        <w:rPr>
          <w:rFonts w:hint="eastAsia"/>
          <w:lang w:val="en-US" w:eastAsia="zh-CN"/>
        </w:rPr>
        <w:t>质量</w:t>
      </w:r>
      <w:r>
        <w:t>报告</w:t>
      </w:r>
      <w:r>
        <w:rPr>
          <w:rFonts w:hint="eastAsia"/>
        </w:rPr>
        <w:t>、机动车行驶证（或临时行驶车号牌）、机动车</w:t>
      </w:r>
      <w:r>
        <w:t>登记证书</w:t>
      </w:r>
      <w:r>
        <w:rPr>
          <w:rFonts w:hint="eastAsia"/>
        </w:rPr>
        <w:t>、</w:t>
      </w:r>
      <w:r>
        <w:t>照片等</w:t>
      </w:r>
      <w:r>
        <w:rPr>
          <w:rFonts w:hint="eastAsia"/>
        </w:rPr>
        <w:t>文件</w:t>
      </w:r>
      <w:r>
        <w:t>进行电子归档，保存期不少于</w:t>
      </w:r>
      <w:r>
        <w:rPr>
          <w:rFonts w:hint="eastAsia" w:cs="Times New Roman"/>
          <w:kern w:val="0"/>
        </w:rPr>
        <w:t>6</w:t>
      </w:r>
      <w:r>
        <w:t>年。</w:t>
      </w:r>
    </w:p>
    <w:p>
      <w:pPr>
        <w:pStyle w:val="232"/>
      </w:pPr>
    </w:p>
    <w:p>
      <w:pPr>
        <w:pStyle w:val="232"/>
        <w:sectPr>
          <w:headerReference r:id="rId10" w:type="default"/>
          <w:footerReference r:id="rId12" w:type="default"/>
          <w:headerReference r:id="rId11" w:type="even"/>
          <w:footerReference r:id="rId13" w:type="even"/>
          <w:pgSz w:w="11906" w:h="16838"/>
          <w:pgMar w:top="1871" w:right="1134" w:bottom="1134" w:left="1417" w:header="1417" w:footer="1134" w:gutter="0"/>
          <w:pgNumType w:start="1"/>
          <w:cols w:space="720" w:num="1"/>
          <w:docGrid w:type="lines" w:linePitch="312" w:charSpace="0"/>
        </w:sectPr>
      </w:pPr>
    </w:p>
    <w:p>
      <w:pPr>
        <w:pStyle w:val="250"/>
      </w:pPr>
      <w:bookmarkStart w:id="243" w:name="_Toc14701"/>
      <w:bookmarkStart w:id="244" w:name="_Toc28548"/>
      <w:bookmarkStart w:id="245" w:name="_Toc4629"/>
      <w:bookmarkStart w:id="246" w:name="_Toc7352"/>
      <w:bookmarkStart w:id="247" w:name="_Toc486235125"/>
      <w:r>
        <w:br w:type="textWrapping"/>
      </w:r>
      <w:bookmarkStart w:id="248" w:name="_Toc525119175"/>
      <w:bookmarkStart w:id="249" w:name="_Toc525303008"/>
      <w:bookmarkStart w:id="250" w:name="_Toc524441558"/>
      <w:bookmarkStart w:id="251" w:name="_Toc1651907"/>
      <w:r>
        <w:rPr>
          <w:rFonts w:hint="eastAsia"/>
        </w:rPr>
        <w:t>（资料性附录）</w:t>
      </w:r>
      <w:r>
        <w:br w:type="textWrapping"/>
      </w:r>
      <w:bookmarkEnd w:id="248"/>
      <w:bookmarkEnd w:id="249"/>
      <w:bookmarkEnd w:id="250"/>
      <w:r>
        <w:t>二手乘用车出口</w:t>
      </w:r>
      <w:r>
        <w:rPr>
          <w:rFonts w:hint="eastAsia"/>
          <w:lang w:val="en-US" w:eastAsia="zh-CN"/>
        </w:rPr>
        <w:t>质量报告</w:t>
      </w:r>
      <w:r>
        <w:rPr>
          <w:rFonts w:hint="eastAsia"/>
        </w:rPr>
        <w:t>作业</w:t>
      </w:r>
      <w:r>
        <w:t>表</w:t>
      </w:r>
      <w:r>
        <w:rPr>
          <w:rFonts w:hint="eastAsia"/>
        </w:rPr>
        <w:t>（式样）</w:t>
      </w:r>
      <w:bookmarkEnd w:id="243"/>
      <w:bookmarkEnd w:id="244"/>
      <w:bookmarkEnd w:id="245"/>
      <w:bookmarkEnd w:id="246"/>
      <w:bookmarkEnd w:id="247"/>
      <w:bookmarkEnd w:id="251"/>
    </w:p>
    <w:p>
      <w:pPr>
        <w:pStyle w:val="244"/>
        <w:spacing w:before="312" w:beforeLines="100" w:after="156" w:afterLines="50"/>
        <w:ind w:firstLine="0" w:firstLineChars="0"/>
        <w:rPr>
          <w:rFonts w:ascii="黑体" w:hAnsi="黑体" w:eastAsia="黑体" w:cs="黑体"/>
        </w:rPr>
      </w:pPr>
      <w:r>
        <w:rPr>
          <w:rFonts w:hint="eastAsia" w:ascii="黑体" w:hAnsi="黑体" w:eastAsia="黑体" w:cs="黑体"/>
        </w:rPr>
        <w:t>A.1</w:t>
      </w:r>
      <w:r>
        <w:rPr>
          <w:rFonts w:hint="eastAsia" w:ascii="宋体" w:hAnsi="宋体" w:cs="黑体"/>
        </w:rPr>
        <w:t>　二手乘用车出口</w:t>
      </w:r>
      <w:r>
        <w:rPr>
          <w:rFonts w:hint="eastAsia" w:hAnsi="宋体" w:cs="黑体"/>
          <w:lang w:val="en-US" w:eastAsia="zh-CN"/>
        </w:rPr>
        <w:t>质量报告</w:t>
      </w:r>
      <w:r>
        <w:rPr>
          <w:rFonts w:hint="eastAsia" w:ascii="宋体" w:hAnsi="宋体" w:cs="黑体"/>
        </w:rPr>
        <w:t>作业表（式样）见表A.</w:t>
      </w:r>
      <w:r>
        <w:rPr>
          <w:rFonts w:ascii="宋体" w:hAnsi="宋体" w:cs="黑体"/>
        </w:rPr>
        <w:t>1</w:t>
      </w:r>
      <w:r>
        <w:rPr>
          <w:rFonts w:hint="eastAsia" w:ascii="宋体" w:hAnsi="宋体" w:cs="黑体"/>
        </w:rPr>
        <w:t>。</w:t>
      </w:r>
    </w:p>
    <w:p>
      <w:pPr>
        <w:pStyle w:val="252"/>
        <w:spacing w:beforeLines="0" w:after="156"/>
      </w:pPr>
      <w:r>
        <w:rPr>
          <w:rFonts w:hint="eastAsia"/>
        </w:rPr>
        <w:t xml:space="preserve">表A.1  </w:t>
      </w:r>
      <w:r>
        <w:t>二手乘用车出口</w:t>
      </w:r>
      <w:r>
        <w:rPr>
          <w:rFonts w:hint="eastAsia"/>
          <w:lang w:val="en-US" w:eastAsia="zh-CN"/>
        </w:rPr>
        <w:t>质量报告</w:t>
      </w:r>
      <w:r>
        <w:rPr>
          <w:rFonts w:hint="eastAsia"/>
        </w:rPr>
        <w:t>作业</w:t>
      </w:r>
      <w:r>
        <w:t>表</w:t>
      </w:r>
      <w:r>
        <w:rPr>
          <w:rFonts w:hint="eastAsia"/>
        </w:rPr>
        <w:t>（式样）</w:t>
      </w:r>
    </w:p>
    <w:tbl>
      <w:tblPr>
        <w:tblStyle w:val="27"/>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3948"/>
        <w:gridCol w:w="612"/>
        <w:gridCol w:w="577"/>
        <w:gridCol w:w="3654"/>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001" w:type="dxa"/>
            <w:gridSpan w:val="6"/>
            <w:vAlign w:val="center"/>
          </w:tcPr>
          <w:p>
            <w:pPr>
              <w:pStyle w:val="232"/>
              <w:snapToGrid w:val="0"/>
              <w:ind w:firstLine="0" w:firstLineChars="0"/>
              <w:jc w:val="left"/>
              <w:rPr>
                <w:b/>
                <w:sz w:val="18"/>
                <w:szCs w:val="18"/>
              </w:rPr>
            </w:pPr>
            <w:r>
              <w:rPr>
                <w:b/>
                <w:sz w:val="18"/>
                <w:szCs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001" w:type="dxa"/>
            <w:gridSpan w:val="6"/>
            <w:vAlign w:val="center"/>
          </w:tcPr>
          <w:p>
            <w:pPr>
              <w:pStyle w:val="232"/>
              <w:ind w:firstLine="0" w:firstLineChars="0"/>
              <w:rPr>
                <w:sz w:val="18"/>
                <w:szCs w:val="18"/>
              </w:rPr>
            </w:pPr>
            <w:r>
              <w:rPr>
                <w:rFonts w:hint="eastAsia" w:hAnsi="宋体" w:cs="宋体"/>
                <w:color w:val="000000"/>
                <w:sz w:val="18"/>
                <w:szCs w:val="18"/>
              </w:rPr>
              <w:t>车辆识别代号：</w:t>
            </w:r>
            <w:r>
              <w:rPr>
                <w:rFonts w:hAnsi="宋体"/>
                <w:color w:val="000000"/>
                <w:sz w:val="18"/>
                <w:szCs w:val="18"/>
              </w:rPr>
              <w:t xml:space="preserve">          </w:t>
            </w:r>
            <w:r>
              <w:rPr>
                <w:rFonts w:hint="eastAsia" w:hAnsi="宋体"/>
                <w:color w:val="000000"/>
                <w:sz w:val="18"/>
                <w:szCs w:val="18"/>
              </w:rPr>
              <w:t xml:space="preserve">    </w:t>
            </w:r>
            <w:r>
              <w:rPr>
                <w:rFonts w:hAnsi="宋体"/>
                <w:color w:val="000000"/>
                <w:sz w:val="18"/>
                <w:szCs w:val="18"/>
              </w:rPr>
              <w:t xml:space="preserve">    </w:t>
            </w:r>
            <w:r>
              <w:rPr>
                <w:rFonts w:hint="eastAsia" w:hAnsi="宋体" w:cs="宋体"/>
                <w:color w:val="000000"/>
                <w:sz w:val="18"/>
                <w:szCs w:val="18"/>
              </w:rPr>
              <w:t>车辆类型：</w:t>
            </w:r>
            <w:r>
              <w:rPr>
                <w:rFonts w:hAnsi="宋体"/>
                <w:color w:val="000000"/>
                <w:sz w:val="18"/>
                <w:szCs w:val="18"/>
              </w:rPr>
              <w:t xml:space="preserve">                </w:t>
            </w:r>
            <w:r>
              <w:rPr>
                <w:rFonts w:hint="eastAsia" w:hAnsi="宋体" w:cs="宋体"/>
                <w:color w:val="000000"/>
                <w:sz w:val="18"/>
                <w:szCs w:val="18"/>
              </w:rPr>
              <w:t>品  牌：</w:t>
            </w:r>
            <w:r>
              <w:rPr>
                <w:rFonts w:hAnsi="宋体"/>
                <w:color w:val="000000"/>
                <w:sz w:val="18"/>
                <w:szCs w:val="18"/>
              </w:rPr>
              <w:t xml:space="preserve">                </w:t>
            </w:r>
            <w:r>
              <w:rPr>
                <w:rFonts w:hint="eastAsia" w:hAnsi="宋体" w:cs="宋体"/>
                <w:color w:val="000000"/>
                <w:sz w:val="18"/>
                <w:szCs w:val="18"/>
              </w:rPr>
              <w:t>型  号：</w:t>
            </w:r>
            <w:r>
              <w:rPr>
                <w:rFonts w:hAnsi="宋体"/>
                <w:color w:val="000000"/>
                <w:sz w:val="18"/>
                <w:szCs w:val="18"/>
              </w:rPr>
              <w:t xml:space="preserve">                </w:t>
            </w:r>
            <w:r>
              <w:rPr>
                <w:rFonts w:hint="eastAsia" w:hAnsi="宋体"/>
                <w:color w:val="000000"/>
                <w:sz w:val="18"/>
                <w:szCs w:val="18"/>
              </w:rPr>
              <w:br w:type="textWrapping"/>
            </w:r>
            <w:r>
              <w:rPr>
                <w:rFonts w:hint="eastAsia" w:hAnsi="宋体" w:cs="宋体"/>
                <w:color w:val="000000"/>
                <w:sz w:val="18"/>
                <w:szCs w:val="18"/>
              </w:rPr>
              <w:t>表征行驶里程：</w:t>
            </w:r>
            <w:r>
              <w:rPr>
                <w:rFonts w:hAnsi="宋体"/>
                <w:color w:val="000000"/>
                <w:sz w:val="18"/>
                <w:szCs w:val="18"/>
              </w:rPr>
              <w:t xml:space="preserve">    </w:t>
            </w:r>
            <w:r>
              <w:rPr>
                <w:rFonts w:hint="eastAsia" w:hAnsi="宋体"/>
                <w:color w:val="000000"/>
                <w:sz w:val="18"/>
                <w:szCs w:val="18"/>
              </w:rPr>
              <w:t xml:space="preserve">  </w:t>
            </w:r>
            <w:r>
              <w:rPr>
                <w:rFonts w:hAnsi="宋体"/>
                <w:color w:val="000000"/>
                <w:sz w:val="18"/>
                <w:szCs w:val="18"/>
              </w:rPr>
              <w:t xml:space="preserve">   km</w:t>
            </w:r>
            <w:r>
              <w:rPr>
                <w:rFonts w:hint="eastAsia" w:hAnsi="宋体"/>
                <w:color w:val="000000"/>
                <w:sz w:val="18"/>
                <w:szCs w:val="18"/>
              </w:rPr>
              <w:t xml:space="preserve">       </w:t>
            </w:r>
            <w:r>
              <w:rPr>
                <w:rFonts w:hint="eastAsia" w:hAnsi="宋体" w:cs="宋体"/>
                <w:color w:val="000000"/>
                <w:sz w:val="18"/>
                <w:szCs w:val="18"/>
              </w:rPr>
              <w:t>出厂日期：</w:t>
            </w:r>
            <w:r>
              <w:rPr>
                <w:rFonts w:hAnsi="宋体"/>
                <w:color w:val="000000"/>
                <w:sz w:val="18"/>
                <w:szCs w:val="18"/>
              </w:rPr>
              <w:t xml:space="preserve">       </w:t>
            </w:r>
            <w:r>
              <w:rPr>
                <w:rFonts w:hint="eastAsia" w:hAnsi="宋体" w:cs="宋体"/>
                <w:color w:val="000000"/>
                <w:sz w:val="18"/>
                <w:szCs w:val="18"/>
              </w:rPr>
              <w:t>年</w:t>
            </w:r>
            <w:r>
              <w:rPr>
                <w:rFonts w:hAnsi="宋体"/>
                <w:color w:val="000000"/>
                <w:sz w:val="18"/>
                <w:szCs w:val="18"/>
              </w:rPr>
              <w:t xml:space="preserve">    </w:t>
            </w:r>
            <w:r>
              <w:rPr>
                <w:rFonts w:hint="eastAsia" w:hAnsi="宋体" w:cs="宋体"/>
                <w:color w:val="000000"/>
                <w:sz w:val="18"/>
                <w:szCs w:val="18"/>
              </w:rPr>
              <w:t>月</w:t>
            </w:r>
            <w:r>
              <w:rPr>
                <w:rFonts w:hint="eastAsia" w:hAnsi="宋体"/>
                <w:color w:val="000000"/>
                <w:sz w:val="18"/>
                <w:szCs w:val="18"/>
              </w:rPr>
              <w:t xml:space="preserve">    </w:t>
            </w:r>
            <w:r>
              <w:rPr>
                <w:rFonts w:hint="eastAsia" w:hAnsi="宋体" w:cs="宋体"/>
                <w:color w:val="000000"/>
                <w:sz w:val="18"/>
                <w:szCs w:val="18"/>
              </w:rPr>
              <w:t>日</w:t>
            </w:r>
            <w:r>
              <w:rPr>
                <w:rFonts w:hAnsi="宋体"/>
                <w:color w:val="000000"/>
                <w:sz w:val="18"/>
                <w:szCs w:val="18"/>
              </w:rPr>
              <w:t xml:space="preserve">  </w:t>
            </w:r>
            <w:r>
              <w:rPr>
                <w:rFonts w:hint="eastAsia" w:hAnsi="宋体"/>
                <w:color w:val="000000"/>
                <w:sz w:val="18"/>
                <w:szCs w:val="18"/>
              </w:rPr>
              <w:t xml:space="preserve">   </w:t>
            </w:r>
            <w:r>
              <w:rPr>
                <w:rFonts w:hAnsi="宋体"/>
                <w:color w:val="000000"/>
                <w:sz w:val="18"/>
                <w:szCs w:val="18"/>
              </w:rPr>
              <w:t xml:space="preserve"> </w:t>
            </w:r>
            <w:r>
              <w:rPr>
                <w:rFonts w:hint="eastAsia" w:hAnsi="宋体"/>
                <w:color w:val="000000"/>
                <w:sz w:val="18"/>
                <w:szCs w:val="18"/>
                <w:lang w:val="en-US" w:eastAsia="zh-CN"/>
              </w:rPr>
              <w:t xml:space="preserve">          </w:t>
            </w:r>
            <w:r>
              <w:rPr>
                <w:rFonts w:hint="eastAsia" w:hAnsi="宋体"/>
                <w:color w:val="000000"/>
                <w:sz w:val="18"/>
                <w:szCs w:val="18"/>
              </w:rPr>
              <w:t xml:space="preserve">  </w:t>
            </w:r>
            <w:r>
              <w:rPr>
                <w:rFonts w:hint="eastAsia" w:hAnsi="宋体" w:cs="宋体"/>
                <w:color w:val="000000"/>
                <w:sz w:val="18"/>
                <w:szCs w:val="18"/>
              </w:rPr>
              <w:t>日期：</w:t>
            </w:r>
            <w:r>
              <w:rPr>
                <w:rFonts w:hAnsi="宋体"/>
                <w:color w:val="000000"/>
                <w:sz w:val="18"/>
                <w:szCs w:val="18"/>
              </w:rPr>
              <w:t xml:space="preserve">      </w:t>
            </w:r>
            <w:r>
              <w:rPr>
                <w:rFonts w:hint="eastAsia" w:hAnsi="宋体" w:cs="宋体"/>
                <w:color w:val="000000"/>
                <w:sz w:val="18"/>
                <w:szCs w:val="18"/>
              </w:rPr>
              <w:t>年</w:t>
            </w:r>
            <w:r>
              <w:rPr>
                <w:rFonts w:hAnsi="宋体"/>
                <w:color w:val="000000"/>
                <w:sz w:val="18"/>
                <w:szCs w:val="18"/>
              </w:rPr>
              <w:t xml:space="preserve">   </w:t>
            </w:r>
            <w:r>
              <w:rPr>
                <w:rFonts w:hint="eastAsia" w:hAnsi="宋体" w:cs="宋体"/>
                <w:color w:val="000000"/>
                <w:sz w:val="18"/>
                <w:szCs w:val="18"/>
              </w:rPr>
              <w:t>月</w:t>
            </w:r>
            <w:r>
              <w:rPr>
                <w:rFonts w:hAnsi="宋体"/>
                <w:color w:val="000000"/>
                <w:sz w:val="18"/>
                <w:szCs w:val="18"/>
              </w:rPr>
              <w:t xml:space="preserve">   </w:t>
            </w:r>
            <w:r>
              <w:rPr>
                <w:rFonts w:hint="eastAsia" w:hAnsi="宋体" w:cs="宋体"/>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001" w:type="dxa"/>
            <w:gridSpan w:val="6"/>
            <w:vAlign w:val="center"/>
          </w:tcPr>
          <w:p>
            <w:pPr>
              <w:pStyle w:val="232"/>
              <w:snapToGrid w:val="0"/>
              <w:ind w:firstLine="0" w:firstLineChars="0"/>
              <w:jc w:val="left"/>
              <w:rPr>
                <w:b/>
                <w:sz w:val="18"/>
                <w:szCs w:val="18"/>
              </w:rPr>
            </w:pPr>
            <w:r>
              <w:rPr>
                <w:b/>
                <w:sz w:val="18"/>
                <w:szCs w:val="18"/>
              </w:rPr>
              <w:t>二、</w:t>
            </w:r>
            <w:r>
              <w:rPr>
                <w:rFonts w:hint="eastAsia"/>
                <w:b/>
                <w:sz w:val="18"/>
                <w:szCs w:val="18"/>
              </w:rPr>
              <w:t>车辆核查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snapToGrid w:val="0"/>
              <w:ind w:firstLine="0" w:firstLineChars="0"/>
              <w:jc w:val="center"/>
              <w:rPr>
                <w:sz w:val="18"/>
                <w:szCs w:val="18"/>
              </w:rPr>
            </w:pPr>
            <w:r>
              <w:rPr>
                <w:sz w:val="18"/>
                <w:szCs w:val="18"/>
              </w:rPr>
              <w:t>序号</w:t>
            </w:r>
          </w:p>
        </w:tc>
        <w:tc>
          <w:tcPr>
            <w:tcW w:w="3948" w:type="dxa"/>
            <w:vAlign w:val="center"/>
          </w:tcPr>
          <w:p>
            <w:pPr>
              <w:pStyle w:val="232"/>
              <w:snapToGrid w:val="0"/>
              <w:ind w:firstLine="0" w:firstLineChars="0"/>
              <w:jc w:val="center"/>
              <w:rPr>
                <w:sz w:val="18"/>
                <w:szCs w:val="18"/>
              </w:rPr>
            </w:pPr>
            <w:r>
              <w:rPr>
                <w:sz w:val="18"/>
                <w:szCs w:val="18"/>
              </w:rPr>
              <w:t>项目</w:t>
            </w:r>
          </w:p>
        </w:tc>
        <w:tc>
          <w:tcPr>
            <w:tcW w:w="612" w:type="dxa"/>
            <w:vAlign w:val="center"/>
          </w:tcPr>
          <w:p>
            <w:pPr>
              <w:pStyle w:val="232"/>
              <w:snapToGrid w:val="0"/>
              <w:ind w:firstLine="0" w:firstLineChars="0"/>
              <w:jc w:val="center"/>
              <w:rPr>
                <w:sz w:val="18"/>
                <w:szCs w:val="18"/>
              </w:rPr>
            </w:pPr>
            <w:r>
              <w:rPr>
                <w:bCs/>
                <w:sz w:val="18"/>
                <w:szCs w:val="18"/>
              </w:rPr>
              <w:t>判定</w:t>
            </w:r>
          </w:p>
        </w:tc>
        <w:tc>
          <w:tcPr>
            <w:tcW w:w="577" w:type="dxa"/>
            <w:vAlign w:val="center"/>
          </w:tcPr>
          <w:p>
            <w:pPr>
              <w:pStyle w:val="232"/>
              <w:snapToGrid w:val="0"/>
              <w:ind w:firstLine="0" w:firstLineChars="0"/>
              <w:jc w:val="center"/>
              <w:rPr>
                <w:sz w:val="18"/>
                <w:szCs w:val="18"/>
              </w:rPr>
            </w:pPr>
            <w:r>
              <w:rPr>
                <w:sz w:val="18"/>
                <w:szCs w:val="18"/>
              </w:rPr>
              <w:t>序号</w:t>
            </w:r>
          </w:p>
        </w:tc>
        <w:tc>
          <w:tcPr>
            <w:tcW w:w="3654" w:type="dxa"/>
            <w:vAlign w:val="center"/>
          </w:tcPr>
          <w:p>
            <w:pPr>
              <w:pStyle w:val="232"/>
              <w:snapToGrid w:val="0"/>
              <w:ind w:firstLine="0" w:firstLineChars="0"/>
              <w:jc w:val="center"/>
              <w:rPr>
                <w:sz w:val="18"/>
                <w:szCs w:val="18"/>
              </w:rPr>
            </w:pPr>
            <w:r>
              <w:rPr>
                <w:sz w:val="18"/>
                <w:szCs w:val="18"/>
              </w:rPr>
              <w:t>项目</w:t>
            </w:r>
          </w:p>
        </w:tc>
        <w:tc>
          <w:tcPr>
            <w:tcW w:w="613" w:type="dxa"/>
            <w:vAlign w:val="center"/>
          </w:tcPr>
          <w:p>
            <w:pPr>
              <w:pStyle w:val="232"/>
              <w:snapToGrid w:val="0"/>
              <w:ind w:firstLine="0" w:firstLineChars="0"/>
              <w:jc w:val="center"/>
              <w:rPr>
                <w:sz w:val="18"/>
                <w:szCs w:val="18"/>
              </w:rPr>
            </w:pPr>
            <w:r>
              <w:rPr>
                <w:bCs/>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numPr>
                <w:ilvl w:val="0"/>
                <w:numId w:val="33"/>
              </w:numPr>
              <w:snapToGrid w:val="0"/>
              <w:ind w:firstLineChars="0"/>
              <w:jc w:val="center"/>
              <w:rPr>
                <w:sz w:val="18"/>
                <w:szCs w:val="18"/>
              </w:rPr>
            </w:pPr>
          </w:p>
        </w:tc>
        <w:tc>
          <w:tcPr>
            <w:tcW w:w="3948" w:type="dxa"/>
            <w:vAlign w:val="center"/>
          </w:tcPr>
          <w:p>
            <w:pPr>
              <w:spacing w:line="240" w:lineRule="auto"/>
              <w:jc w:val="both"/>
              <w:rPr>
                <w:rFonts w:ascii="宋体" w:hAnsi="宋体" w:cs="宋体"/>
                <w:color w:val="000000"/>
                <w:sz w:val="18"/>
                <w:szCs w:val="18"/>
              </w:rPr>
            </w:pPr>
            <w:r>
              <w:rPr>
                <w:rFonts w:hint="eastAsia" w:ascii="宋体" w:hAnsi="宋体" w:cs="宋体"/>
                <w:color w:val="000000"/>
                <w:sz w:val="18"/>
                <w:szCs w:val="18"/>
                <w:lang w:val="en-US" w:eastAsia="zh-CN"/>
              </w:rPr>
              <w:t>车辆应未达到国家有关机动车强制报废规定要求，且距规定要求使用年限1年以上（不含1年）。</w:t>
            </w:r>
          </w:p>
        </w:tc>
        <w:tc>
          <w:tcPr>
            <w:tcW w:w="612" w:type="dxa"/>
            <w:vAlign w:val="center"/>
          </w:tcPr>
          <w:p>
            <w:pPr>
              <w:pStyle w:val="232"/>
              <w:snapToGrid w:val="0"/>
              <w:spacing w:line="240" w:lineRule="exact"/>
              <w:ind w:firstLine="0" w:firstLineChars="0"/>
              <w:jc w:val="center"/>
              <w:rPr>
                <w:bCs/>
                <w:sz w:val="18"/>
                <w:szCs w:val="18"/>
              </w:rPr>
            </w:pPr>
          </w:p>
        </w:tc>
        <w:tc>
          <w:tcPr>
            <w:tcW w:w="577" w:type="dxa"/>
            <w:vAlign w:val="center"/>
          </w:tcPr>
          <w:p>
            <w:pPr>
              <w:pStyle w:val="232"/>
              <w:numPr>
                <w:ilvl w:val="0"/>
                <w:numId w:val="33"/>
              </w:numPr>
              <w:snapToGrid w:val="0"/>
              <w:spacing w:line="240" w:lineRule="exact"/>
              <w:ind w:firstLineChars="0"/>
              <w:jc w:val="center"/>
              <w:rPr>
                <w:sz w:val="18"/>
                <w:szCs w:val="18"/>
              </w:rPr>
            </w:pPr>
          </w:p>
        </w:tc>
        <w:tc>
          <w:tcPr>
            <w:tcW w:w="3654" w:type="dxa"/>
            <w:vAlign w:val="center"/>
          </w:tcPr>
          <w:p>
            <w:pPr>
              <w:spacing w:line="240" w:lineRule="auto"/>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车辆识别代号应与机动车行驶证（或临时行驶车号牌）和机动车登记证书签注的内容一致，且打刻的车辆识别代号无被凿改、挖补、打磨、垫片、重新涂漆（设计和制造上为保护打刻的车辆识别代号而采取涂漆工艺的情形除外）、擅自重新打刻等现象。</w:t>
            </w:r>
          </w:p>
        </w:tc>
        <w:tc>
          <w:tcPr>
            <w:tcW w:w="613"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numPr>
                <w:ilvl w:val="0"/>
                <w:numId w:val="33"/>
              </w:numPr>
              <w:snapToGrid w:val="0"/>
              <w:ind w:firstLineChars="0"/>
              <w:jc w:val="center"/>
              <w:rPr>
                <w:sz w:val="18"/>
                <w:szCs w:val="18"/>
              </w:rPr>
            </w:pPr>
          </w:p>
        </w:tc>
        <w:tc>
          <w:tcPr>
            <w:tcW w:w="3948" w:type="dxa"/>
            <w:vAlign w:val="center"/>
          </w:tcPr>
          <w:p>
            <w:pPr>
              <w:spacing w:line="240" w:lineRule="auto"/>
              <w:jc w:val="both"/>
              <w:rPr>
                <w:rFonts w:ascii="宋体" w:hAnsi="宋体" w:cs="宋体"/>
                <w:color w:val="000000"/>
                <w:sz w:val="18"/>
                <w:szCs w:val="18"/>
              </w:rPr>
            </w:pPr>
            <w:r>
              <w:rPr>
                <w:rFonts w:hint="eastAsia" w:ascii="宋体" w:hAnsi="宋体" w:cs="宋体"/>
                <w:color w:val="000000"/>
                <w:sz w:val="18"/>
                <w:szCs w:val="18"/>
                <w:lang w:val="en-US" w:eastAsia="zh-CN"/>
              </w:rPr>
              <w:t>发动机/驱动电机标识记载的内容或可见的发动机号/驱动电机号码应与机动车行驶证（或临时行驶车号牌）和机动车登记证书签注的内容一致。</w:t>
            </w:r>
          </w:p>
        </w:tc>
        <w:tc>
          <w:tcPr>
            <w:tcW w:w="612" w:type="dxa"/>
            <w:vAlign w:val="center"/>
          </w:tcPr>
          <w:p>
            <w:pPr>
              <w:pStyle w:val="232"/>
              <w:snapToGrid w:val="0"/>
              <w:spacing w:line="240" w:lineRule="exact"/>
              <w:ind w:firstLine="0" w:firstLineChars="0"/>
              <w:jc w:val="center"/>
              <w:rPr>
                <w:bCs/>
                <w:sz w:val="18"/>
                <w:szCs w:val="18"/>
              </w:rPr>
            </w:pPr>
          </w:p>
        </w:tc>
        <w:tc>
          <w:tcPr>
            <w:tcW w:w="577" w:type="dxa"/>
            <w:vAlign w:val="center"/>
          </w:tcPr>
          <w:p>
            <w:pPr>
              <w:pStyle w:val="232"/>
              <w:numPr>
                <w:ilvl w:val="0"/>
                <w:numId w:val="33"/>
              </w:numPr>
              <w:snapToGrid w:val="0"/>
              <w:spacing w:line="240" w:lineRule="exact"/>
              <w:ind w:firstLineChars="0"/>
              <w:jc w:val="center"/>
              <w:rPr>
                <w:sz w:val="18"/>
                <w:szCs w:val="18"/>
              </w:rPr>
            </w:pPr>
          </w:p>
        </w:tc>
        <w:tc>
          <w:tcPr>
            <w:tcW w:w="3654" w:type="dxa"/>
            <w:vAlign w:val="center"/>
          </w:tcPr>
          <w:p>
            <w:pPr>
              <w:spacing w:line="240" w:lineRule="auto"/>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车辆外形、座位数应与机动车行驶证照片和机动车登记证书签注的内容一致，且不存在改变车厢形状、车辆结构、座椅布置和固定方式等非法改装情形。</w:t>
            </w:r>
          </w:p>
        </w:tc>
        <w:tc>
          <w:tcPr>
            <w:tcW w:w="613"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001" w:type="dxa"/>
            <w:gridSpan w:val="6"/>
            <w:vAlign w:val="center"/>
          </w:tcPr>
          <w:p>
            <w:pPr>
              <w:pStyle w:val="232"/>
              <w:snapToGrid w:val="0"/>
              <w:ind w:firstLine="0" w:firstLineChars="0"/>
              <w:jc w:val="left"/>
              <w:rPr>
                <w:b/>
                <w:bCs/>
                <w:sz w:val="18"/>
                <w:szCs w:val="18"/>
              </w:rPr>
            </w:pPr>
            <w:r>
              <w:rPr>
                <w:b/>
                <w:sz w:val="18"/>
                <w:szCs w:val="18"/>
              </w:rPr>
              <w:t>三</w:t>
            </w:r>
            <w:r>
              <w:rPr>
                <w:rFonts w:hint="eastAsia"/>
                <w:b/>
                <w:sz w:val="18"/>
                <w:szCs w:val="18"/>
              </w:rPr>
              <w:t>、</w:t>
            </w:r>
            <w:r>
              <w:rPr>
                <w:b/>
                <w:sz w:val="18"/>
                <w:szCs w:val="18"/>
              </w:rPr>
              <w:t>重大事故车判别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snapToGrid w:val="0"/>
              <w:ind w:firstLine="0" w:firstLineChars="0"/>
              <w:jc w:val="center"/>
              <w:rPr>
                <w:sz w:val="18"/>
                <w:szCs w:val="18"/>
              </w:rPr>
            </w:pPr>
            <w:r>
              <w:rPr>
                <w:sz w:val="18"/>
                <w:szCs w:val="18"/>
              </w:rPr>
              <w:t>序号</w:t>
            </w:r>
          </w:p>
        </w:tc>
        <w:tc>
          <w:tcPr>
            <w:tcW w:w="3948" w:type="dxa"/>
            <w:vAlign w:val="center"/>
          </w:tcPr>
          <w:p>
            <w:pPr>
              <w:jc w:val="center"/>
              <w:rPr>
                <w:color w:val="000000"/>
                <w:sz w:val="18"/>
                <w:szCs w:val="18"/>
              </w:rPr>
            </w:pPr>
            <w:r>
              <w:rPr>
                <w:sz w:val="18"/>
                <w:szCs w:val="18"/>
              </w:rPr>
              <w:t>项目</w:t>
            </w:r>
          </w:p>
        </w:tc>
        <w:tc>
          <w:tcPr>
            <w:tcW w:w="612" w:type="dxa"/>
            <w:vAlign w:val="center"/>
          </w:tcPr>
          <w:p>
            <w:pPr>
              <w:pStyle w:val="232"/>
              <w:snapToGrid w:val="0"/>
              <w:spacing w:line="300" w:lineRule="exact"/>
              <w:ind w:firstLine="0" w:firstLineChars="0"/>
              <w:jc w:val="center"/>
              <w:rPr>
                <w:bCs/>
                <w:sz w:val="18"/>
                <w:szCs w:val="18"/>
              </w:rPr>
            </w:pPr>
            <w:r>
              <w:rPr>
                <w:bCs/>
                <w:sz w:val="18"/>
                <w:szCs w:val="18"/>
              </w:rPr>
              <w:t>判定</w:t>
            </w:r>
          </w:p>
        </w:tc>
        <w:tc>
          <w:tcPr>
            <w:tcW w:w="577" w:type="dxa"/>
            <w:vAlign w:val="center"/>
          </w:tcPr>
          <w:p>
            <w:pPr>
              <w:pStyle w:val="232"/>
              <w:snapToGrid w:val="0"/>
              <w:ind w:firstLine="0" w:firstLineChars="0"/>
              <w:jc w:val="center"/>
              <w:rPr>
                <w:sz w:val="18"/>
                <w:szCs w:val="18"/>
              </w:rPr>
            </w:pPr>
            <w:r>
              <w:rPr>
                <w:sz w:val="18"/>
                <w:szCs w:val="18"/>
              </w:rPr>
              <w:t>序号</w:t>
            </w:r>
          </w:p>
        </w:tc>
        <w:tc>
          <w:tcPr>
            <w:tcW w:w="3654" w:type="dxa"/>
            <w:vAlign w:val="center"/>
          </w:tcPr>
          <w:p>
            <w:pPr>
              <w:jc w:val="center"/>
              <w:rPr>
                <w:color w:val="000000"/>
                <w:sz w:val="18"/>
                <w:szCs w:val="18"/>
              </w:rPr>
            </w:pPr>
            <w:r>
              <w:rPr>
                <w:sz w:val="18"/>
                <w:szCs w:val="18"/>
              </w:rPr>
              <w:t>项目</w:t>
            </w:r>
          </w:p>
        </w:tc>
        <w:tc>
          <w:tcPr>
            <w:tcW w:w="613" w:type="dxa"/>
            <w:vAlign w:val="center"/>
          </w:tcPr>
          <w:p>
            <w:pPr>
              <w:pStyle w:val="232"/>
              <w:snapToGrid w:val="0"/>
              <w:ind w:firstLine="0" w:firstLineChars="0"/>
              <w:jc w:val="center"/>
              <w:rPr>
                <w:bCs/>
                <w:sz w:val="18"/>
                <w:szCs w:val="18"/>
              </w:rPr>
            </w:pPr>
            <w:r>
              <w:rPr>
                <w:bCs/>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numPr>
                <w:ilvl w:val="0"/>
                <w:numId w:val="34"/>
              </w:numPr>
              <w:snapToGrid w:val="0"/>
              <w:ind w:firstLineChars="0"/>
              <w:jc w:val="center"/>
              <w:rPr>
                <w:sz w:val="18"/>
                <w:szCs w:val="18"/>
              </w:rPr>
            </w:pPr>
          </w:p>
        </w:tc>
        <w:tc>
          <w:tcPr>
            <w:tcW w:w="3948" w:type="dxa"/>
            <w:vAlign w:val="center"/>
          </w:tcPr>
          <w:p>
            <w:pPr>
              <w:spacing w:line="240" w:lineRule="auto"/>
              <w:rPr>
                <w:rFonts w:ascii="宋体" w:hAnsi="宋体" w:cs="宋体"/>
                <w:color w:val="000000"/>
                <w:sz w:val="18"/>
                <w:szCs w:val="18"/>
              </w:rPr>
            </w:pPr>
            <w:r>
              <w:rPr>
                <w:rFonts w:hint="eastAsia" w:ascii="宋体" w:hAnsi="宋体" w:cs="宋体"/>
                <w:color w:val="000000"/>
                <w:sz w:val="18"/>
                <w:szCs w:val="18"/>
              </w:rPr>
              <w:t>车体结构</w:t>
            </w:r>
            <w:r>
              <w:rPr>
                <w:rFonts w:hint="eastAsia" w:ascii="宋体" w:hAnsi="宋体" w:cs="宋体"/>
                <w:color w:val="000000"/>
                <w:sz w:val="18"/>
                <w:szCs w:val="18"/>
                <w:lang w:val="en-US" w:eastAsia="zh-CN"/>
              </w:rPr>
              <w:t>应无</w:t>
            </w:r>
            <w:r>
              <w:rPr>
                <w:rFonts w:ascii="宋体" w:hAnsi="宋体" w:cs="宋体"/>
                <w:color w:val="000000"/>
                <w:sz w:val="18"/>
                <w:szCs w:val="18"/>
              </w:rPr>
              <w:t>严重变形</w:t>
            </w:r>
            <w:r>
              <w:rPr>
                <w:rFonts w:hint="eastAsia" w:ascii="宋体" w:hAnsi="宋体" w:cs="宋体"/>
                <w:color w:val="000000"/>
                <w:sz w:val="18"/>
                <w:szCs w:val="18"/>
              </w:rPr>
              <w:t>、</w:t>
            </w:r>
            <w:r>
              <w:rPr>
                <w:rFonts w:ascii="宋体" w:hAnsi="宋体" w:cs="宋体"/>
                <w:color w:val="000000"/>
                <w:sz w:val="18"/>
                <w:szCs w:val="18"/>
              </w:rPr>
              <w:t>切割、焊接等</w:t>
            </w:r>
            <w:r>
              <w:rPr>
                <w:rFonts w:hint="eastAsia" w:ascii="宋体" w:hAnsi="宋体" w:cs="宋体"/>
                <w:color w:val="000000"/>
                <w:sz w:val="18"/>
                <w:szCs w:val="18"/>
              </w:rPr>
              <w:t>情况。</w:t>
            </w:r>
          </w:p>
        </w:tc>
        <w:tc>
          <w:tcPr>
            <w:tcW w:w="612" w:type="dxa"/>
            <w:vAlign w:val="center"/>
          </w:tcPr>
          <w:p>
            <w:pPr>
              <w:pStyle w:val="232"/>
              <w:snapToGrid w:val="0"/>
              <w:ind w:firstLine="0" w:firstLineChars="0"/>
              <w:jc w:val="center"/>
              <w:rPr>
                <w:bCs/>
                <w:sz w:val="18"/>
                <w:szCs w:val="18"/>
              </w:rPr>
            </w:pPr>
          </w:p>
        </w:tc>
        <w:tc>
          <w:tcPr>
            <w:tcW w:w="577" w:type="dxa"/>
            <w:vAlign w:val="center"/>
          </w:tcPr>
          <w:p>
            <w:pPr>
              <w:pStyle w:val="232"/>
              <w:numPr>
                <w:ilvl w:val="0"/>
                <w:numId w:val="34"/>
              </w:numPr>
              <w:snapToGrid w:val="0"/>
              <w:ind w:firstLineChars="0"/>
              <w:jc w:val="center"/>
              <w:rPr>
                <w:sz w:val="18"/>
                <w:szCs w:val="18"/>
              </w:rPr>
            </w:pPr>
          </w:p>
        </w:tc>
        <w:tc>
          <w:tcPr>
            <w:tcW w:w="3654" w:type="dxa"/>
            <w:vAlign w:val="bottom"/>
          </w:tcPr>
          <w:p>
            <w:pPr>
              <w:spacing w:line="240" w:lineRule="auto"/>
              <w:rPr>
                <w:rFonts w:ascii="宋体" w:hAnsi="宋体" w:cs="宋体"/>
                <w:color w:val="000000"/>
                <w:sz w:val="18"/>
                <w:szCs w:val="18"/>
              </w:rPr>
            </w:pPr>
            <w:r>
              <w:rPr>
                <w:rFonts w:hint="eastAsia" w:ascii="宋体" w:hAnsi="宋体" w:cs="宋体"/>
                <w:color w:val="000000"/>
                <w:sz w:val="18"/>
                <w:szCs w:val="18"/>
                <w:lang w:val="en-US" w:eastAsia="zh-CN"/>
              </w:rPr>
              <w:t>水应未进入驾驶室内，且</w:t>
            </w:r>
            <w:bookmarkStart w:id="326" w:name="_GoBack"/>
            <w:bookmarkEnd w:id="326"/>
            <w:r>
              <w:rPr>
                <w:rFonts w:hint="eastAsia" w:ascii="宋体" w:hAnsi="宋体" w:cs="宋体"/>
                <w:color w:val="000000"/>
                <w:sz w:val="18"/>
                <w:szCs w:val="18"/>
                <w:lang w:val="en-US" w:eastAsia="zh-CN"/>
              </w:rPr>
              <w:t>无明显泡水痕迹。</w:t>
            </w:r>
          </w:p>
        </w:tc>
        <w:tc>
          <w:tcPr>
            <w:tcW w:w="613"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numPr>
                <w:ilvl w:val="0"/>
                <w:numId w:val="34"/>
              </w:numPr>
              <w:snapToGrid w:val="0"/>
              <w:ind w:firstLineChars="0"/>
              <w:jc w:val="center"/>
              <w:rPr>
                <w:sz w:val="18"/>
                <w:szCs w:val="18"/>
              </w:rPr>
            </w:pPr>
          </w:p>
        </w:tc>
        <w:tc>
          <w:tcPr>
            <w:tcW w:w="3948" w:type="dxa"/>
            <w:vAlign w:val="bottom"/>
          </w:tcPr>
          <w:p>
            <w:pPr>
              <w:spacing w:line="240" w:lineRule="auto"/>
              <w:rPr>
                <w:rFonts w:ascii="宋体" w:hAnsi="宋体" w:cs="宋体"/>
                <w:color w:val="000000"/>
                <w:sz w:val="18"/>
                <w:szCs w:val="18"/>
              </w:rPr>
            </w:pPr>
            <w:r>
              <w:rPr>
                <w:rFonts w:hint="eastAsia" w:ascii="宋体" w:hAnsi="宋体" w:cs="宋体"/>
                <w:color w:val="000000"/>
                <w:sz w:val="18"/>
                <w:szCs w:val="18"/>
                <w:lang w:val="en-US" w:eastAsia="zh-CN"/>
              </w:rPr>
              <w:t>车辆应无明显过火痕迹。</w:t>
            </w:r>
          </w:p>
        </w:tc>
        <w:tc>
          <w:tcPr>
            <w:tcW w:w="612" w:type="dxa"/>
            <w:vAlign w:val="center"/>
          </w:tcPr>
          <w:p>
            <w:pPr>
              <w:pStyle w:val="232"/>
              <w:snapToGrid w:val="0"/>
              <w:spacing w:line="300" w:lineRule="exact"/>
              <w:ind w:firstLine="0" w:firstLineChars="0"/>
              <w:jc w:val="center"/>
              <w:rPr>
                <w:bCs/>
                <w:sz w:val="18"/>
                <w:szCs w:val="18"/>
              </w:rPr>
            </w:pPr>
          </w:p>
        </w:tc>
        <w:tc>
          <w:tcPr>
            <w:tcW w:w="577" w:type="dxa"/>
            <w:vAlign w:val="center"/>
          </w:tcPr>
          <w:p>
            <w:pPr>
              <w:pStyle w:val="232"/>
              <w:snapToGrid w:val="0"/>
              <w:ind w:firstLine="0" w:firstLineChars="0"/>
              <w:jc w:val="center"/>
              <w:rPr>
                <w:sz w:val="18"/>
                <w:szCs w:val="18"/>
              </w:rPr>
            </w:pPr>
          </w:p>
        </w:tc>
        <w:tc>
          <w:tcPr>
            <w:tcW w:w="3654" w:type="dxa"/>
            <w:vAlign w:val="center"/>
          </w:tcPr>
          <w:p>
            <w:pPr>
              <w:spacing w:line="240" w:lineRule="auto"/>
              <w:rPr>
                <w:rFonts w:ascii="宋体" w:hAnsi="宋体" w:cs="宋体"/>
                <w:color w:val="000000"/>
                <w:sz w:val="18"/>
                <w:szCs w:val="18"/>
              </w:rPr>
            </w:pPr>
          </w:p>
        </w:tc>
        <w:tc>
          <w:tcPr>
            <w:tcW w:w="613"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001" w:type="dxa"/>
            <w:gridSpan w:val="6"/>
            <w:vAlign w:val="center"/>
          </w:tcPr>
          <w:p>
            <w:pPr>
              <w:pStyle w:val="232"/>
              <w:snapToGrid w:val="0"/>
              <w:ind w:firstLine="0" w:firstLineChars="0"/>
              <w:jc w:val="left"/>
              <w:rPr>
                <w:b/>
                <w:bCs/>
                <w:sz w:val="18"/>
                <w:szCs w:val="18"/>
              </w:rPr>
            </w:pPr>
            <w:r>
              <w:rPr>
                <w:rFonts w:hint="eastAsia"/>
                <w:b/>
                <w:sz w:val="18"/>
                <w:szCs w:val="18"/>
              </w:rPr>
              <w:t>四、一般性</w:t>
            </w:r>
            <w:r>
              <w:rPr>
                <w:rFonts w:hint="eastAsia"/>
                <w:b/>
                <w:sz w:val="18"/>
                <w:szCs w:val="1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snapToGrid w:val="0"/>
              <w:ind w:firstLine="0" w:firstLineChars="0"/>
              <w:jc w:val="center"/>
              <w:rPr>
                <w:sz w:val="18"/>
                <w:szCs w:val="18"/>
              </w:rPr>
            </w:pPr>
            <w:r>
              <w:rPr>
                <w:sz w:val="18"/>
                <w:szCs w:val="18"/>
              </w:rPr>
              <w:t>序号</w:t>
            </w:r>
          </w:p>
        </w:tc>
        <w:tc>
          <w:tcPr>
            <w:tcW w:w="3948" w:type="dxa"/>
            <w:vAlign w:val="center"/>
          </w:tcPr>
          <w:p>
            <w:pPr>
              <w:spacing w:line="240" w:lineRule="auto"/>
              <w:jc w:val="center"/>
              <w:rPr>
                <w:sz w:val="18"/>
                <w:szCs w:val="18"/>
              </w:rPr>
            </w:pPr>
            <w:r>
              <w:rPr>
                <w:sz w:val="18"/>
                <w:szCs w:val="18"/>
              </w:rPr>
              <w:t>项目</w:t>
            </w:r>
          </w:p>
        </w:tc>
        <w:tc>
          <w:tcPr>
            <w:tcW w:w="612" w:type="dxa"/>
            <w:vAlign w:val="center"/>
          </w:tcPr>
          <w:p>
            <w:pPr>
              <w:pStyle w:val="232"/>
              <w:snapToGrid w:val="0"/>
              <w:ind w:firstLine="0" w:firstLineChars="0"/>
              <w:jc w:val="center"/>
              <w:rPr>
                <w:bCs/>
                <w:sz w:val="18"/>
                <w:szCs w:val="18"/>
              </w:rPr>
            </w:pPr>
            <w:r>
              <w:rPr>
                <w:sz w:val="18"/>
                <w:szCs w:val="18"/>
              </w:rPr>
              <w:t>判定</w:t>
            </w:r>
          </w:p>
        </w:tc>
        <w:tc>
          <w:tcPr>
            <w:tcW w:w="577" w:type="dxa"/>
            <w:vAlign w:val="center"/>
          </w:tcPr>
          <w:p>
            <w:pPr>
              <w:pStyle w:val="232"/>
              <w:snapToGrid w:val="0"/>
              <w:ind w:firstLine="0" w:firstLineChars="0"/>
              <w:jc w:val="center"/>
              <w:rPr>
                <w:sz w:val="18"/>
                <w:szCs w:val="18"/>
              </w:rPr>
            </w:pPr>
            <w:r>
              <w:rPr>
                <w:sz w:val="18"/>
                <w:szCs w:val="18"/>
              </w:rPr>
              <w:t>序号</w:t>
            </w:r>
          </w:p>
        </w:tc>
        <w:tc>
          <w:tcPr>
            <w:tcW w:w="3654" w:type="dxa"/>
            <w:vAlign w:val="center"/>
          </w:tcPr>
          <w:p>
            <w:pPr>
              <w:spacing w:line="240" w:lineRule="auto"/>
              <w:jc w:val="center"/>
              <w:rPr>
                <w:sz w:val="18"/>
                <w:szCs w:val="18"/>
              </w:rPr>
            </w:pPr>
            <w:r>
              <w:rPr>
                <w:sz w:val="18"/>
                <w:szCs w:val="18"/>
              </w:rPr>
              <w:t>项目</w:t>
            </w:r>
          </w:p>
        </w:tc>
        <w:tc>
          <w:tcPr>
            <w:tcW w:w="613" w:type="dxa"/>
            <w:vAlign w:val="center"/>
          </w:tcPr>
          <w:p>
            <w:pPr>
              <w:pStyle w:val="232"/>
              <w:snapToGrid w:val="0"/>
              <w:ind w:firstLine="0" w:firstLineChars="0"/>
              <w:jc w:val="center"/>
              <w:rPr>
                <w:bCs/>
                <w:sz w:val="18"/>
                <w:szCs w:val="18"/>
              </w:rPr>
            </w:pPr>
            <w:r>
              <w:rPr>
                <w:bCs/>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ascii="宋体" w:hAnsi="宋体" w:cs="宋体"/>
                <w:color w:val="000000"/>
                <w:sz w:val="18"/>
                <w:szCs w:val="18"/>
              </w:rPr>
            </w:pPr>
            <w:r>
              <w:rPr>
                <w:rFonts w:hint="eastAsia" w:ascii="宋体" w:hAnsi="宋体" w:cs="宋体"/>
                <w:color w:val="000000"/>
                <w:sz w:val="18"/>
                <w:szCs w:val="18"/>
              </w:rPr>
              <w:t>车身外观应清洁。</w:t>
            </w:r>
          </w:p>
        </w:tc>
        <w:tc>
          <w:tcPr>
            <w:tcW w:w="612" w:type="dxa"/>
            <w:vAlign w:val="center"/>
          </w:tcPr>
          <w:p>
            <w:pPr>
              <w:rPr>
                <w:rFonts w:ascii="宋体" w:hAnsi="宋体" w:cs="宋体"/>
                <w:color w:val="000000"/>
                <w:sz w:val="18"/>
                <w:szCs w:val="18"/>
              </w:rPr>
            </w:pPr>
          </w:p>
        </w:tc>
        <w:tc>
          <w:tcPr>
            <w:tcW w:w="577" w:type="dxa"/>
            <w:vAlign w:val="center"/>
          </w:tcPr>
          <w:p>
            <w:pPr>
              <w:pStyle w:val="232"/>
              <w:numPr>
                <w:ilvl w:val="0"/>
                <w:numId w:val="35"/>
              </w:numPr>
              <w:snapToGrid w:val="0"/>
              <w:ind w:firstLineChars="0"/>
              <w:jc w:val="center"/>
              <w:rPr>
                <w:sz w:val="18"/>
                <w:szCs w:val="18"/>
              </w:rPr>
            </w:pPr>
          </w:p>
        </w:tc>
        <w:tc>
          <w:tcPr>
            <w:tcW w:w="3654"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车身前部外表面的易见部位上应至少装置一个能永久保持，且与车辆品牌、型号相适应的商标或厂标。</w:t>
            </w:r>
          </w:p>
        </w:tc>
        <w:tc>
          <w:tcPr>
            <w:tcW w:w="613"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车体应周正，车体外缘左右对称部位高度差应小于等于40mm。</w:t>
            </w:r>
          </w:p>
        </w:tc>
        <w:tc>
          <w:tcPr>
            <w:tcW w:w="612" w:type="dxa"/>
            <w:vAlign w:val="center"/>
          </w:tcPr>
          <w:p>
            <w:pPr>
              <w:rPr>
                <w:rFonts w:ascii="宋体" w:hAnsi="宋体" w:cs="宋体"/>
                <w:color w:val="000000"/>
                <w:sz w:val="18"/>
                <w:szCs w:val="18"/>
              </w:rPr>
            </w:pPr>
          </w:p>
        </w:tc>
        <w:tc>
          <w:tcPr>
            <w:tcW w:w="577" w:type="dxa"/>
            <w:vAlign w:val="center"/>
          </w:tcPr>
          <w:p>
            <w:pPr>
              <w:pStyle w:val="232"/>
              <w:numPr>
                <w:ilvl w:val="0"/>
                <w:numId w:val="35"/>
              </w:numPr>
              <w:snapToGrid w:val="0"/>
              <w:ind w:firstLineChars="0"/>
              <w:jc w:val="center"/>
              <w:rPr>
                <w:sz w:val="18"/>
                <w:szCs w:val="18"/>
              </w:rPr>
            </w:pPr>
          </w:p>
        </w:tc>
        <w:tc>
          <w:tcPr>
            <w:tcW w:w="3654"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车身外观零部件应联接牢固，无缺损，不应有可能使人致伤的尖角、锐边等凸起物。</w:t>
            </w:r>
          </w:p>
        </w:tc>
        <w:tc>
          <w:tcPr>
            <w:tcW w:w="613"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车门应开闭顺畅，密封性良好，无漏水痕迹。车锁应完好且功能正常。</w:t>
            </w:r>
          </w:p>
        </w:tc>
        <w:tc>
          <w:tcPr>
            <w:tcW w:w="612" w:type="dxa"/>
            <w:vAlign w:val="center"/>
          </w:tcPr>
          <w:p>
            <w:pPr>
              <w:rPr>
                <w:rFonts w:ascii="宋体" w:hAnsi="宋体" w:cs="宋体"/>
                <w:color w:val="000000"/>
                <w:sz w:val="18"/>
                <w:szCs w:val="18"/>
              </w:rPr>
            </w:pPr>
          </w:p>
        </w:tc>
        <w:tc>
          <w:tcPr>
            <w:tcW w:w="577" w:type="dxa"/>
            <w:vAlign w:val="center"/>
          </w:tcPr>
          <w:p>
            <w:pPr>
              <w:pStyle w:val="232"/>
              <w:numPr>
                <w:ilvl w:val="0"/>
                <w:numId w:val="35"/>
              </w:numPr>
              <w:snapToGrid w:val="0"/>
              <w:ind w:firstLineChars="0"/>
              <w:jc w:val="center"/>
              <w:rPr>
                <w:sz w:val="18"/>
                <w:szCs w:val="18"/>
              </w:rPr>
            </w:pPr>
          </w:p>
        </w:tc>
        <w:tc>
          <w:tcPr>
            <w:tcW w:w="3654"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左右后视镜应无破损，调整功能正常且能有效保持其位置。</w:t>
            </w:r>
          </w:p>
        </w:tc>
        <w:tc>
          <w:tcPr>
            <w:tcW w:w="613"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雨刮器应能正常操作，胶条无断裂。</w:t>
            </w:r>
          </w:p>
        </w:tc>
        <w:tc>
          <w:tcPr>
            <w:tcW w:w="612" w:type="dxa"/>
            <w:vAlign w:val="center"/>
          </w:tcPr>
          <w:p>
            <w:pPr>
              <w:rPr>
                <w:rFonts w:ascii="宋体" w:hAnsi="宋体" w:cs="宋体"/>
                <w:color w:val="000000"/>
                <w:sz w:val="18"/>
                <w:szCs w:val="18"/>
              </w:rPr>
            </w:pPr>
          </w:p>
        </w:tc>
        <w:tc>
          <w:tcPr>
            <w:tcW w:w="577" w:type="dxa"/>
            <w:vAlign w:val="center"/>
          </w:tcPr>
          <w:p>
            <w:pPr>
              <w:pStyle w:val="232"/>
              <w:numPr>
                <w:ilvl w:val="0"/>
                <w:numId w:val="35"/>
              </w:numPr>
              <w:snapToGrid w:val="0"/>
              <w:ind w:firstLineChars="0"/>
              <w:jc w:val="center"/>
              <w:rPr>
                <w:sz w:val="18"/>
                <w:szCs w:val="18"/>
              </w:rPr>
            </w:pPr>
          </w:p>
        </w:tc>
        <w:tc>
          <w:tcPr>
            <w:tcW w:w="3654"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玻璃不应有裂痕和点状破裂，有石击痕迹但无穿透性损伤的除外。</w:t>
            </w:r>
          </w:p>
        </w:tc>
        <w:tc>
          <w:tcPr>
            <w:tcW w:w="613"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外观灯具应齐全，灯罩无破裂，且不应有后射灯。</w:t>
            </w:r>
          </w:p>
        </w:tc>
        <w:tc>
          <w:tcPr>
            <w:tcW w:w="612" w:type="dxa"/>
            <w:vAlign w:val="center"/>
          </w:tcPr>
          <w:p>
            <w:pPr>
              <w:rPr>
                <w:rFonts w:ascii="宋体" w:hAnsi="宋体" w:cs="宋体"/>
                <w:color w:val="000000"/>
                <w:sz w:val="18"/>
                <w:szCs w:val="18"/>
              </w:rPr>
            </w:pPr>
          </w:p>
        </w:tc>
        <w:tc>
          <w:tcPr>
            <w:tcW w:w="577" w:type="dxa"/>
            <w:vAlign w:val="center"/>
          </w:tcPr>
          <w:p>
            <w:pPr>
              <w:pStyle w:val="232"/>
              <w:numPr>
                <w:ilvl w:val="0"/>
                <w:numId w:val="35"/>
              </w:numPr>
              <w:snapToGrid w:val="0"/>
              <w:ind w:firstLineChars="0"/>
              <w:jc w:val="center"/>
              <w:rPr>
                <w:sz w:val="18"/>
                <w:szCs w:val="18"/>
              </w:rPr>
            </w:pPr>
          </w:p>
        </w:tc>
        <w:tc>
          <w:tcPr>
            <w:tcW w:w="3654"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发动机、驱动电机固定可靠，不应有裂纹和漏油现象。悬置不应有开裂现象。</w:t>
            </w:r>
          </w:p>
        </w:tc>
        <w:tc>
          <w:tcPr>
            <w:tcW w:w="613"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燃油、润滑油、冷却液、转向助力液等不应有漏油、漏液现象。</w:t>
            </w:r>
          </w:p>
        </w:tc>
        <w:tc>
          <w:tcPr>
            <w:tcW w:w="612" w:type="dxa"/>
            <w:vAlign w:val="center"/>
          </w:tcPr>
          <w:p>
            <w:pPr>
              <w:rPr>
                <w:rFonts w:ascii="宋体" w:hAnsi="宋体" w:cs="宋体"/>
                <w:color w:val="000000"/>
                <w:sz w:val="18"/>
                <w:szCs w:val="18"/>
              </w:rPr>
            </w:pPr>
          </w:p>
        </w:tc>
        <w:tc>
          <w:tcPr>
            <w:tcW w:w="577" w:type="dxa"/>
            <w:vAlign w:val="center"/>
          </w:tcPr>
          <w:p>
            <w:pPr>
              <w:pStyle w:val="232"/>
              <w:numPr>
                <w:ilvl w:val="0"/>
                <w:numId w:val="35"/>
              </w:numPr>
              <w:snapToGrid w:val="0"/>
              <w:ind w:firstLineChars="0"/>
              <w:jc w:val="center"/>
              <w:rPr>
                <w:sz w:val="18"/>
                <w:szCs w:val="18"/>
              </w:rPr>
            </w:pPr>
          </w:p>
        </w:tc>
        <w:tc>
          <w:tcPr>
            <w:tcW w:w="3654" w:type="dxa"/>
            <w:vAlign w:val="center"/>
          </w:tcPr>
          <w:p>
            <w:pPr>
              <w:spacing w:line="240" w:lineRule="exact"/>
              <w:jc w:val="both"/>
              <w:rPr>
                <w:rFonts w:hint="eastAsia" w:ascii="宋体" w:hAnsi="宋体" w:cs="宋体"/>
                <w:color w:val="000000"/>
                <w:sz w:val="18"/>
                <w:szCs w:val="18"/>
              </w:rPr>
            </w:pPr>
            <w:r>
              <w:rPr>
                <w:rFonts w:hint="eastAsia" w:ascii="宋体" w:hAnsi="宋体" w:cs="宋体"/>
                <w:color w:val="000000"/>
                <w:sz w:val="18"/>
                <w:szCs w:val="18"/>
                <w:lang w:val="en-US" w:eastAsia="zh-CN"/>
              </w:rPr>
              <w:t>发动机润滑油不应有冷却液混入和乳化现象。</w:t>
            </w:r>
          </w:p>
        </w:tc>
        <w:tc>
          <w:tcPr>
            <w:tcW w:w="613" w:type="dxa"/>
            <w:vAlign w:val="center"/>
          </w:tcPr>
          <w:p>
            <w:pPr>
              <w:pStyle w:val="232"/>
              <w:snapToGrid w:val="0"/>
              <w:ind w:firstLine="0" w:firstLineChars="0"/>
              <w:jc w:val="center"/>
              <w:rPr>
                <w:bCs/>
                <w:sz w:val="18"/>
                <w:szCs w:val="18"/>
              </w:rPr>
            </w:pPr>
          </w:p>
        </w:tc>
      </w:tr>
    </w:tbl>
    <w:p>
      <w:pPr>
        <w:rPr>
          <w:rFonts w:hint="eastAsia"/>
        </w:rPr>
      </w:pPr>
      <w:r>
        <w:rPr>
          <w:rFonts w:hint="eastAsia"/>
        </w:rPr>
        <w:br w:type="page"/>
      </w:r>
    </w:p>
    <w:p>
      <w:pPr>
        <w:pStyle w:val="252"/>
        <w:spacing w:beforeLines="0" w:afterLines="0"/>
      </w:pPr>
      <w:r>
        <w:rPr>
          <w:rFonts w:hint="eastAsia"/>
        </w:rPr>
        <w:t xml:space="preserve">表A.1  </w:t>
      </w:r>
      <w:r>
        <w:t>二手乘用车出口</w:t>
      </w:r>
      <w:r>
        <w:rPr>
          <w:rFonts w:hint="eastAsia"/>
          <w:lang w:val="en-US" w:eastAsia="zh-CN"/>
        </w:rPr>
        <w:t>质量报告</w:t>
      </w:r>
      <w:r>
        <w:rPr>
          <w:rFonts w:hint="eastAsia"/>
        </w:rPr>
        <w:t>作业</w:t>
      </w:r>
      <w:r>
        <w:t>表</w:t>
      </w:r>
      <w:r>
        <w:rPr>
          <w:rFonts w:hint="eastAsia"/>
        </w:rPr>
        <w:t>（式样）（续）</w:t>
      </w:r>
    </w:p>
    <w:tbl>
      <w:tblPr>
        <w:tblStyle w:val="27"/>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3948"/>
        <w:gridCol w:w="630"/>
        <w:gridCol w:w="587"/>
        <w:gridCol w:w="3626"/>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snapToGrid w:val="0"/>
              <w:ind w:firstLine="0" w:firstLineChars="0"/>
              <w:jc w:val="center"/>
              <w:rPr>
                <w:sz w:val="18"/>
                <w:szCs w:val="18"/>
              </w:rPr>
            </w:pPr>
            <w:r>
              <w:rPr>
                <w:sz w:val="18"/>
                <w:szCs w:val="18"/>
              </w:rPr>
              <w:t>序号</w:t>
            </w:r>
          </w:p>
        </w:tc>
        <w:tc>
          <w:tcPr>
            <w:tcW w:w="3948" w:type="dxa"/>
            <w:vAlign w:val="center"/>
          </w:tcPr>
          <w:p>
            <w:pPr>
              <w:spacing w:line="240" w:lineRule="auto"/>
              <w:jc w:val="center"/>
              <w:rPr>
                <w:rFonts w:ascii="宋体" w:hAnsi="宋体" w:cs="宋体"/>
                <w:color w:val="000000"/>
                <w:sz w:val="18"/>
                <w:szCs w:val="18"/>
              </w:rPr>
            </w:pPr>
            <w:r>
              <w:rPr>
                <w:color w:val="000000"/>
                <w:sz w:val="18"/>
                <w:szCs w:val="18"/>
              </w:rPr>
              <w:t>项目</w:t>
            </w:r>
          </w:p>
        </w:tc>
        <w:tc>
          <w:tcPr>
            <w:tcW w:w="630" w:type="dxa"/>
            <w:vAlign w:val="center"/>
          </w:tcPr>
          <w:p>
            <w:pPr>
              <w:pStyle w:val="232"/>
              <w:snapToGrid w:val="0"/>
              <w:ind w:firstLine="0" w:firstLineChars="0"/>
              <w:jc w:val="center"/>
              <w:rPr>
                <w:rFonts w:ascii="宋体" w:hAnsi="宋体" w:cs="宋体"/>
                <w:color w:val="000000"/>
                <w:sz w:val="18"/>
                <w:szCs w:val="18"/>
              </w:rPr>
            </w:pPr>
            <w:r>
              <w:rPr>
                <w:bCs/>
                <w:sz w:val="18"/>
                <w:szCs w:val="18"/>
              </w:rPr>
              <w:t>判定</w:t>
            </w:r>
          </w:p>
        </w:tc>
        <w:tc>
          <w:tcPr>
            <w:tcW w:w="587" w:type="dxa"/>
            <w:vAlign w:val="center"/>
          </w:tcPr>
          <w:p>
            <w:pPr>
              <w:pStyle w:val="232"/>
              <w:snapToGrid w:val="0"/>
              <w:ind w:firstLine="0" w:firstLineChars="0"/>
              <w:jc w:val="center"/>
              <w:rPr>
                <w:sz w:val="18"/>
                <w:szCs w:val="18"/>
              </w:rPr>
            </w:pPr>
            <w:r>
              <w:rPr>
                <w:sz w:val="18"/>
                <w:szCs w:val="18"/>
              </w:rPr>
              <w:t>序号</w:t>
            </w:r>
          </w:p>
        </w:tc>
        <w:tc>
          <w:tcPr>
            <w:tcW w:w="3626" w:type="dxa"/>
            <w:vAlign w:val="center"/>
          </w:tcPr>
          <w:p>
            <w:pPr>
              <w:spacing w:line="240" w:lineRule="auto"/>
              <w:jc w:val="center"/>
              <w:rPr>
                <w:rFonts w:ascii="宋体" w:hAnsi="宋体" w:cs="宋体"/>
                <w:color w:val="000000"/>
                <w:sz w:val="18"/>
                <w:szCs w:val="18"/>
              </w:rPr>
            </w:pPr>
            <w:r>
              <w:rPr>
                <w:color w:val="000000"/>
                <w:sz w:val="18"/>
                <w:szCs w:val="18"/>
              </w:rPr>
              <w:t>项目</w:t>
            </w:r>
          </w:p>
        </w:tc>
        <w:tc>
          <w:tcPr>
            <w:tcW w:w="616" w:type="dxa"/>
            <w:vAlign w:val="center"/>
          </w:tcPr>
          <w:p>
            <w:pPr>
              <w:pStyle w:val="232"/>
              <w:snapToGrid w:val="0"/>
              <w:ind w:firstLine="0" w:firstLineChars="0"/>
              <w:jc w:val="center"/>
              <w:rPr>
                <w:bCs/>
                <w:sz w:val="18"/>
                <w:szCs w:val="18"/>
              </w:rPr>
            </w:pPr>
            <w:r>
              <w:rPr>
                <w:bCs/>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传动皮带、油液管路等不应有断裂、破损现象。</w:t>
            </w:r>
          </w:p>
        </w:tc>
        <w:tc>
          <w:tcPr>
            <w:tcW w:w="630" w:type="dxa"/>
            <w:vAlign w:val="center"/>
          </w:tcPr>
          <w:p>
            <w:pPr>
              <w:rPr>
                <w:rFonts w:ascii="宋体" w:hAnsi="宋体" w:cs="宋体"/>
                <w:color w:val="000000"/>
                <w:sz w:val="18"/>
                <w:szCs w:val="18"/>
              </w:rPr>
            </w:pPr>
          </w:p>
        </w:tc>
        <w:tc>
          <w:tcPr>
            <w:tcW w:w="587" w:type="dxa"/>
            <w:vAlign w:val="center"/>
          </w:tcPr>
          <w:p>
            <w:pPr>
              <w:pStyle w:val="232"/>
              <w:numPr>
                <w:ilvl w:val="0"/>
                <w:numId w:val="35"/>
              </w:numPr>
              <w:snapToGrid w:val="0"/>
              <w:ind w:firstLineChars="0"/>
              <w:jc w:val="center"/>
              <w:rPr>
                <w:sz w:val="18"/>
                <w:szCs w:val="18"/>
              </w:rPr>
            </w:pPr>
          </w:p>
        </w:tc>
        <w:tc>
          <w:tcPr>
            <w:tcW w:w="3626"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发动机舱盖锁开启、锁止功能应正常。</w:t>
            </w:r>
          </w:p>
        </w:tc>
        <w:tc>
          <w:tcPr>
            <w:tcW w:w="616"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蓄电池不应有极柱断裂、外观破损或漏液等现象。</w:t>
            </w:r>
          </w:p>
        </w:tc>
        <w:tc>
          <w:tcPr>
            <w:tcW w:w="630" w:type="dxa"/>
            <w:vAlign w:val="center"/>
          </w:tcPr>
          <w:p>
            <w:pPr>
              <w:rPr>
                <w:rFonts w:ascii="宋体" w:hAnsi="宋体" w:cs="宋体"/>
                <w:color w:val="000000"/>
                <w:sz w:val="18"/>
                <w:szCs w:val="18"/>
              </w:rPr>
            </w:pPr>
          </w:p>
        </w:tc>
        <w:tc>
          <w:tcPr>
            <w:tcW w:w="587" w:type="dxa"/>
            <w:vAlign w:val="center"/>
          </w:tcPr>
          <w:p>
            <w:pPr>
              <w:pStyle w:val="232"/>
              <w:numPr>
                <w:ilvl w:val="0"/>
                <w:numId w:val="35"/>
              </w:numPr>
              <w:snapToGrid w:val="0"/>
              <w:ind w:firstLineChars="0"/>
              <w:jc w:val="center"/>
              <w:rPr>
                <w:sz w:val="18"/>
                <w:szCs w:val="18"/>
              </w:rPr>
            </w:pPr>
          </w:p>
        </w:tc>
        <w:tc>
          <w:tcPr>
            <w:tcW w:w="3626"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高低压线束、连接器及保护管/套应布置整齐，不应有断裂、破损、表面材料溶解或烧蚀痕迹。</w:t>
            </w:r>
          </w:p>
        </w:tc>
        <w:tc>
          <w:tcPr>
            <w:tcW w:w="616"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车内后视镜不应有破损，调整功能正常且能有效保持其位置。</w:t>
            </w:r>
          </w:p>
        </w:tc>
        <w:tc>
          <w:tcPr>
            <w:tcW w:w="630" w:type="dxa"/>
            <w:vAlign w:val="center"/>
          </w:tcPr>
          <w:p>
            <w:pPr>
              <w:rPr>
                <w:rFonts w:ascii="宋体" w:hAnsi="宋体" w:cs="宋体"/>
                <w:color w:val="000000"/>
                <w:sz w:val="18"/>
                <w:szCs w:val="18"/>
              </w:rPr>
            </w:pPr>
          </w:p>
        </w:tc>
        <w:tc>
          <w:tcPr>
            <w:tcW w:w="587" w:type="dxa"/>
            <w:vAlign w:val="center"/>
          </w:tcPr>
          <w:p>
            <w:pPr>
              <w:pStyle w:val="232"/>
              <w:numPr>
                <w:ilvl w:val="0"/>
                <w:numId w:val="35"/>
              </w:numPr>
              <w:snapToGrid w:val="0"/>
              <w:ind w:firstLineChars="0"/>
              <w:jc w:val="center"/>
              <w:rPr>
                <w:sz w:val="18"/>
                <w:szCs w:val="18"/>
              </w:rPr>
            </w:pPr>
          </w:p>
        </w:tc>
        <w:tc>
          <w:tcPr>
            <w:tcW w:w="3626"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方向盘、换挡杆（或换挡按键）、档位指示标志不应有明显破损，属于表面正常磨损的除外。</w:t>
            </w:r>
          </w:p>
        </w:tc>
        <w:tc>
          <w:tcPr>
            <w:tcW w:w="616"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bookmarkStart w:id="252" w:name="_Toc11323629"/>
          </w:p>
        </w:tc>
        <w:tc>
          <w:tcPr>
            <w:tcW w:w="3948"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座椅应固定可靠，座椅调整功能正常。</w:t>
            </w:r>
          </w:p>
        </w:tc>
        <w:tc>
          <w:tcPr>
            <w:tcW w:w="630" w:type="dxa"/>
            <w:vAlign w:val="center"/>
          </w:tcPr>
          <w:p>
            <w:pPr>
              <w:spacing w:line="240" w:lineRule="exact"/>
              <w:rPr>
                <w:rFonts w:ascii="宋体" w:hAnsi="宋体" w:cs="宋体"/>
                <w:color w:val="000000"/>
                <w:sz w:val="18"/>
                <w:szCs w:val="18"/>
              </w:rPr>
            </w:pPr>
          </w:p>
        </w:tc>
        <w:tc>
          <w:tcPr>
            <w:tcW w:w="587" w:type="dxa"/>
            <w:vAlign w:val="center"/>
          </w:tcPr>
          <w:p>
            <w:pPr>
              <w:pStyle w:val="232"/>
              <w:numPr>
                <w:ilvl w:val="0"/>
                <w:numId w:val="35"/>
              </w:numPr>
              <w:snapToGrid w:val="0"/>
              <w:spacing w:line="240" w:lineRule="exact"/>
              <w:ind w:firstLineChars="0"/>
              <w:jc w:val="center"/>
              <w:rPr>
                <w:sz w:val="18"/>
                <w:szCs w:val="18"/>
              </w:rPr>
            </w:pPr>
          </w:p>
        </w:tc>
        <w:tc>
          <w:tcPr>
            <w:tcW w:w="3626"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车辆配备的安全带应完好，且能正常使用。</w:t>
            </w:r>
          </w:p>
        </w:tc>
        <w:tc>
          <w:tcPr>
            <w:tcW w:w="616"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车架不应有裂纹、变形，螺栓和铆钉不应缺少或松动。</w:t>
            </w:r>
          </w:p>
        </w:tc>
        <w:tc>
          <w:tcPr>
            <w:tcW w:w="630" w:type="dxa"/>
            <w:vAlign w:val="center"/>
          </w:tcPr>
          <w:p>
            <w:pPr>
              <w:spacing w:line="240" w:lineRule="exact"/>
              <w:rPr>
                <w:rFonts w:ascii="宋体" w:hAnsi="宋体" w:cs="宋体"/>
                <w:color w:val="000000"/>
                <w:sz w:val="18"/>
                <w:szCs w:val="18"/>
              </w:rPr>
            </w:pPr>
          </w:p>
        </w:tc>
        <w:tc>
          <w:tcPr>
            <w:tcW w:w="587" w:type="dxa"/>
            <w:vAlign w:val="center"/>
          </w:tcPr>
          <w:p>
            <w:pPr>
              <w:pStyle w:val="232"/>
              <w:numPr>
                <w:ilvl w:val="0"/>
                <w:numId w:val="35"/>
              </w:numPr>
              <w:snapToGrid w:val="0"/>
              <w:spacing w:line="240" w:lineRule="exact"/>
              <w:ind w:firstLineChars="0"/>
              <w:jc w:val="center"/>
              <w:rPr>
                <w:sz w:val="18"/>
                <w:szCs w:val="18"/>
              </w:rPr>
            </w:pPr>
          </w:p>
        </w:tc>
        <w:tc>
          <w:tcPr>
            <w:tcW w:w="3626"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转向系统应功能正常，无漏油现象。转向节臂、转向横拉杆、转向直拉杆及球销应联接可靠，无变形、裂纹和损伤，转向球销等连接部位不应松旷。</w:t>
            </w:r>
          </w:p>
        </w:tc>
        <w:tc>
          <w:tcPr>
            <w:tcW w:w="616" w:type="dxa"/>
            <w:vAlign w:val="center"/>
          </w:tcPr>
          <w:p>
            <w:pPr>
              <w:pStyle w:val="232"/>
              <w:snapToGrid w:val="0"/>
              <w:ind w:firstLine="0" w:firstLineChars="0"/>
              <w:jc w:val="center"/>
              <w:rPr>
                <w:bCs/>
                <w:sz w:val="18"/>
                <w:szCs w:val="18"/>
              </w:rPr>
            </w:pPr>
          </w:p>
        </w:tc>
      </w:tr>
      <w:bookmarkEnd w:id="2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制动系统应功能正常，制动主缸、轮缸及管路不应有漏气、漏油现象。制动软管不应与其他部件干涉，且不应有明显老化、开裂、被压扁、鼓包等现象。</w:t>
            </w:r>
          </w:p>
        </w:tc>
        <w:tc>
          <w:tcPr>
            <w:tcW w:w="630" w:type="dxa"/>
            <w:vAlign w:val="center"/>
          </w:tcPr>
          <w:p>
            <w:pPr>
              <w:spacing w:line="240" w:lineRule="exact"/>
              <w:rPr>
                <w:rFonts w:ascii="宋体" w:hAnsi="宋体" w:cs="宋体"/>
                <w:color w:val="000000"/>
                <w:sz w:val="18"/>
                <w:szCs w:val="18"/>
              </w:rPr>
            </w:pPr>
          </w:p>
        </w:tc>
        <w:tc>
          <w:tcPr>
            <w:tcW w:w="587" w:type="dxa"/>
            <w:vAlign w:val="center"/>
          </w:tcPr>
          <w:p>
            <w:pPr>
              <w:pStyle w:val="232"/>
              <w:numPr>
                <w:ilvl w:val="0"/>
                <w:numId w:val="35"/>
              </w:numPr>
              <w:snapToGrid w:val="0"/>
              <w:spacing w:line="240" w:lineRule="exact"/>
              <w:ind w:firstLineChars="0"/>
              <w:jc w:val="center"/>
              <w:rPr>
                <w:sz w:val="18"/>
                <w:szCs w:val="18"/>
              </w:rPr>
            </w:pPr>
          </w:p>
        </w:tc>
        <w:tc>
          <w:tcPr>
            <w:tcW w:w="3626"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轮胎应与车辆匹配，同轴两侧应装用同一型号、规格的轮胎。</w:t>
            </w:r>
          </w:p>
        </w:tc>
        <w:tc>
          <w:tcPr>
            <w:tcW w:w="616"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胎冠花纹深度应大于等于1.6mm。轮胎的胎面、胎壁不应有长度超过25mm或深度足以暴露出轮胎帘布层的破裂和割伤及其他影响使用的缺损、异常磨损和鼓包变形。</w:t>
            </w:r>
          </w:p>
        </w:tc>
        <w:tc>
          <w:tcPr>
            <w:tcW w:w="630" w:type="dxa"/>
            <w:vAlign w:val="center"/>
          </w:tcPr>
          <w:p>
            <w:pPr>
              <w:spacing w:line="240" w:lineRule="exact"/>
              <w:rPr>
                <w:rFonts w:ascii="宋体" w:hAnsi="宋体" w:cs="宋体"/>
                <w:color w:val="000000"/>
                <w:sz w:val="18"/>
                <w:szCs w:val="18"/>
              </w:rPr>
            </w:pPr>
          </w:p>
        </w:tc>
        <w:tc>
          <w:tcPr>
            <w:tcW w:w="587" w:type="dxa"/>
            <w:vAlign w:val="center"/>
          </w:tcPr>
          <w:p>
            <w:pPr>
              <w:pStyle w:val="232"/>
              <w:numPr>
                <w:ilvl w:val="0"/>
                <w:numId w:val="35"/>
              </w:numPr>
              <w:snapToGrid w:val="0"/>
              <w:spacing w:line="240" w:lineRule="exact"/>
              <w:ind w:firstLineChars="0"/>
              <w:jc w:val="center"/>
              <w:rPr>
                <w:sz w:val="18"/>
                <w:szCs w:val="18"/>
              </w:rPr>
            </w:pPr>
          </w:p>
        </w:tc>
        <w:tc>
          <w:tcPr>
            <w:tcW w:w="3626"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车轮不应有明显变形，轮胎螺栓、半轴螺栓应完整齐全，且安装紧固。</w:t>
            </w:r>
          </w:p>
        </w:tc>
        <w:tc>
          <w:tcPr>
            <w:tcW w:w="616"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bookmarkStart w:id="253" w:name="_Toc11323630"/>
            <w:bookmarkEnd w:id="253"/>
          </w:p>
        </w:tc>
        <w:tc>
          <w:tcPr>
            <w:tcW w:w="3948" w:type="dxa"/>
            <w:vAlign w:val="center"/>
          </w:tcPr>
          <w:p>
            <w:pPr>
              <w:spacing w:line="240" w:lineRule="exact"/>
              <w:jc w:val="both"/>
              <w:rPr>
                <w:rFonts w:hint="eastAsia" w:ascii="宋体" w:hAnsi="宋体" w:cs="宋体"/>
                <w:color w:val="000000"/>
                <w:sz w:val="18"/>
                <w:szCs w:val="18"/>
                <w:lang w:val="en-US" w:eastAsia="zh-CN"/>
              </w:rPr>
            </w:pPr>
            <w:bookmarkStart w:id="254" w:name="_Toc11323631"/>
            <w:bookmarkEnd w:id="254"/>
            <w:r>
              <w:rPr>
                <w:rFonts w:hint="eastAsia" w:ascii="宋体" w:hAnsi="宋体" w:cs="宋体"/>
                <w:color w:val="000000"/>
                <w:sz w:val="18"/>
                <w:szCs w:val="18"/>
                <w:lang w:val="en-US" w:eastAsia="zh-CN"/>
              </w:rPr>
              <w:t>悬架系统各接头和衬套不应松旷或移位，稳定杆应联接可靠，悬架各连杆不应有残损或变形。</w:t>
            </w:r>
          </w:p>
        </w:tc>
        <w:tc>
          <w:tcPr>
            <w:tcW w:w="630" w:type="dxa"/>
            <w:vAlign w:val="center"/>
          </w:tcPr>
          <w:p>
            <w:pPr>
              <w:spacing w:line="240" w:lineRule="exact"/>
              <w:rPr>
                <w:rFonts w:ascii="宋体" w:hAnsi="宋体" w:cs="宋体"/>
                <w:color w:val="000000"/>
                <w:sz w:val="18"/>
                <w:szCs w:val="18"/>
              </w:rPr>
            </w:pPr>
            <w:bookmarkStart w:id="255" w:name="_Toc11323632"/>
            <w:bookmarkEnd w:id="255"/>
          </w:p>
        </w:tc>
        <w:tc>
          <w:tcPr>
            <w:tcW w:w="587" w:type="dxa"/>
            <w:vAlign w:val="center"/>
          </w:tcPr>
          <w:p>
            <w:pPr>
              <w:pStyle w:val="232"/>
              <w:numPr>
                <w:ilvl w:val="0"/>
                <w:numId w:val="35"/>
              </w:numPr>
              <w:snapToGrid w:val="0"/>
              <w:spacing w:line="240" w:lineRule="exact"/>
              <w:ind w:firstLineChars="0"/>
              <w:jc w:val="center"/>
              <w:rPr>
                <w:sz w:val="18"/>
                <w:szCs w:val="18"/>
              </w:rPr>
            </w:pPr>
            <w:bookmarkStart w:id="256" w:name="_Toc11323633"/>
            <w:bookmarkEnd w:id="256"/>
          </w:p>
        </w:tc>
        <w:tc>
          <w:tcPr>
            <w:tcW w:w="3626" w:type="dxa"/>
            <w:vAlign w:val="center"/>
          </w:tcPr>
          <w:p>
            <w:pPr>
              <w:spacing w:line="240" w:lineRule="exact"/>
              <w:jc w:val="both"/>
              <w:rPr>
                <w:rFonts w:hint="eastAsia" w:ascii="宋体" w:hAnsi="宋体" w:cs="宋体"/>
                <w:color w:val="000000"/>
                <w:sz w:val="18"/>
                <w:szCs w:val="18"/>
                <w:lang w:val="en-US" w:eastAsia="zh-CN"/>
              </w:rPr>
            </w:pPr>
            <w:bookmarkStart w:id="257" w:name="_Toc11323634"/>
            <w:bookmarkEnd w:id="257"/>
            <w:r>
              <w:rPr>
                <w:rFonts w:hint="eastAsia" w:ascii="宋体" w:hAnsi="宋体" w:cs="宋体"/>
                <w:color w:val="000000"/>
                <w:sz w:val="18"/>
                <w:szCs w:val="18"/>
                <w:lang w:val="en-US" w:eastAsia="zh-CN"/>
              </w:rPr>
              <w:t>减震器稳固有效，不应有漏油现象，且减震弹簧不应有损坏现象。</w:t>
            </w:r>
          </w:p>
        </w:tc>
        <w:tc>
          <w:tcPr>
            <w:tcW w:w="616" w:type="dxa"/>
            <w:vAlign w:val="center"/>
          </w:tcPr>
          <w:p>
            <w:pPr>
              <w:pStyle w:val="232"/>
              <w:snapToGrid w:val="0"/>
              <w:ind w:firstLine="0" w:firstLineChars="0"/>
              <w:jc w:val="center"/>
              <w:rPr>
                <w:bCs/>
                <w:sz w:val="18"/>
                <w:szCs w:val="18"/>
              </w:rPr>
            </w:pPr>
            <w:bookmarkStart w:id="258" w:name="_Toc11323635"/>
            <w:bookmarkEnd w:id="258"/>
          </w:p>
        </w:tc>
        <w:bookmarkStart w:id="259" w:name="_Toc11323637"/>
        <w:bookmarkStart w:id="260" w:name="_Toc11323636"/>
      </w:tr>
      <w:bookmarkEnd w:id="259"/>
      <w:bookmarkEnd w:id="2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bookmarkStart w:id="261" w:name="_Toc11323638"/>
            <w:bookmarkEnd w:id="261"/>
            <w:r>
              <w:rPr>
                <w:rFonts w:hint="eastAsia" w:ascii="宋体" w:hAnsi="宋体" w:cs="宋体"/>
                <w:color w:val="000000"/>
                <w:sz w:val="18"/>
                <w:szCs w:val="18"/>
                <w:lang w:val="en-US" w:eastAsia="zh-CN"/>
              </w:rPr>
              <w:t>钢板弹簧不应有裂纹和断片现象。钢板吊耳及销不应松旷，中心螺栓、U形螺栓螺母应齐全紧固、不松旷。</w:t>
            </w:r>
          </w:p>
        </w:tc>
        <w:tc>
          <w:tcPr>
            <w:tcW w:w="630" w:type="dxa"/>
            <w:vAlign w:val="center"/>
          </w:tcPr>
          <w:p>
            <w:pPr>
              <w:spacing w:line="240" w:lineRule="exact"/>
              <w:rPr>
                <w:rFonts w:ascii="宋体" w:hAnsi="宋体" w:cs="宋体"/>
                <w:color w:val="000000"/>
                <w:sz w:val="18"/>
                <w:szCs w:val="18"/>
              </w:rPr>
            </w:pPr>
            <w:bookmarkStart w:id="262" w:name="_Toc11323639"/>
            <w:bookmarkEnd w:id="262"/>
          </w:p>
        </w:tc>
        <w:tc>
          <w:tcPr>
            <w:tcW w:w="587" w:type="dxa"/>
            <w:vAlign w:val="center"/>
          </w:tcPr>
          <w:p>
            <w:pPr>
              <w:pStyle w:val="232"/>
              <w:numPr>
                <w:ilvl w:val="0"/>
                <w:numId w:val="35"/>
              </w:numPr>
              <w:snapToGrid w:val="0"/>
              <w:spacing w:line="240" w:lineRule="exact"/>
              <w:ind w:firstLineChars="0"/>
              <w:jc w:val="center"/>
              <w:rPr>
                <w:sz w:val="18"/>
                <w:szCs w:val="18"/>
              </w:rPr>
            </w:pPr>
            <w:bookmarkStart w:id="263" w:name="_Toc11323640"/>
            <w:bookmarkEnd w:id="263"/>
          </w:p>
        </w:tc>
        <w:tc>
          <w:tcPr>
            <w:tcW w:w="3626" w:type="dxa"/>
            <w:vAlign w:val="center"/>
          </w:tcPr>
          <w:p>
            <w:pPr>
              <w:spacing w:line="240" w:lineRule="exact"/>
              <w:jc w:val="both"/>
              <w:rPr>
                <w:rFonts w:hint="eastAsia" w:ascii="宋体" w:hAnsi="宋体" w:cs="宋体"/>
                <w:color w:val="000000"/>
                <w:sz w:val="18"/>
                <w:szCs w:val="18"/>
                <w:lang w:val="en-US" w:eastAsia="zh-CN"/>
              </w:rPr>
            </w:pPr>
            <w:bookmarkStart w:id="264" w:name="_Toc11323641"/>
            <w:bookmarkEnd w:id="264"/>
            <w:r>
              <w:rPr>
                <w:rFonts w:hint="eastAsia" w:ascii="宋体" w:hAnsi="宋体" w:cs="宋体"/>
                <w:color w:val="000000"/>
                <w:sz w:val="18"/>
                <w:szCs w:val="18"/>
                <w:lang w:val="en-US" w:eastAsia="zh-CN"/>
              </w:rPr>
              <w:t>空气悬架的控制管路和空气弹簧不应漏气，空气弹簧不应有可视的裂损。</w:t>
            </w:r>
          </w:p>
        </w:tc>
        <w:tc>
          <w:tcPr>
            <w:tcW w:w="616" w:type="dxa"/>
            <w:vAlign w:val="center"/>
          </w:tcPr>
          <w:p>
            <w:pPr>
              <w:pStyle w:val="232"/>
              <w:snapToGrid w:val="0"/>
              <w:ind w:firstLine="0" w:firstLineChars="0"/>
              <w:jc w:val="center"/>
              <w:rPr>
                <w:bCs/>
                <w:sz w:val="18"/>
                <w:szCs w:val="18"/>
              </w:rPr>
            </w:pPr>
            <w:bookmarkStart w:id="265" w:name="_Toc11323642"/>
            <w:bookmarkEnd w:id="265"/>
          </w:p>
        </w:tc>
        <w:bookmarkStart w:id="266" w:name="_Toc11323644"/>
        <w:bookmarkStart w:id="267" w:name="_Toc11323643"/>
      </w:tr>
      <w:bookmarkEnd w:id="266"/>
      <w:bookmarkEnd w:id="2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bookmarkStart w:id="268" w:name="_Toc11323645"/>
            <w:bookmarkEnd w:id="268"/>
            <w:r>
              <w:rPr>
                <w:rFonts w:hint="eastAsia" w:ascii="宋体" w:hAnsi="宋体" w:cs="宋体"/>
                <w:color w:val="000000"/>
                <w:sz w:val="18"/>
                <w:szCs w:val="18"/>
                <w:lang w:val="en-US" w:eastAsia="zh-CN"/>
              </w:rPr>
              <w:t>变速箱、分动箱、减速器、传动轴、车桥等不应有裂纹和漏油现象。</w:t>
            </w:r>
          </w:p>
        </w:tc>
        <w:tc>
          <w:tcPr>
            <w:tcW w:w="630" w:type="dxa"/>
            <w:vAlign w:val="center"/>
          </w:tcPr>
          <w:p>
            <w:pPr>
              <w:spacing w:line="240" w:lineRule="exact"/>
              <w:rPr>
                <w:rFonts w:ascii="宋体" w:hAnsi="宋体" w:cs="宋体"/>
                <w:color w:val="000000"/>
                <w:sz w:val="18"/>
                <w:szCs w:val="18"/>
              </w:rPr>
            </w:pPr>
            <w:bookmarkStart w:id="269" w:name="_Toc11323646"/>
            <w:bookmarkEnd w:id="269"/>
          </w:p>
        </w:tc>
        <w:tc>
          <w:tcPr>
            <w:tcW w:w="587" w:type="dxa"/>
            <w:vAlign w:val="center"/>
          </w:tcPr>
          <w:p>
            <w:pPr>
              <w:pStyle w:val="232"/>
              <w:numPr>
                <w:ilvl w:val="0"/>
                <w:numId w:val="35"/>
              </w:numPr>
              <w:snapToGrid w:val="0"/>
              <w:spacing w:line="240" w:lineRule="exact"/>
              <w:ind w:firstLineChars="0"/>
              <w:jc w:val="center"/>
              <w:rPr>
                <w:sz w:val="18"/>
                <w:szCs w:val="18"/>
              </w:rPr>
            </w:pPr>
            <w:bookmarkStart w:id="270" w:name="_Toc11323647"/>
            <w:bookmarkEnd w:id="270"/>
          </w:p>
        </w:tc>
        <w:tc>
          <w:tcPr>
            <w:tcW w:w="3626" w:type="dxa"/>
            <w:vAlign w:val="center"/>
          </w:tcPr>
          <w:p>
            <w:pPr>
              <w:spacing w:line="240" w:lineRule="exact"/>
              <w:jc w:val="both"/>
              <w:rPr>
                <w:rFonts w:hint="eastAsia" w:ascii="宋体" w:hAnsi="宋体" w:cs="宋体"/>
                <w:color w:val="000000"/>
                <w:sz w:val="18"/>
                <w:szCs w:val="18"/>
                <w:lang w:val="en-US" w:eastAsia="zh-CN"/>
              </w:rPr>
            </w:pPr>
            <w:bookmarkStart w:id="271" w:name="_Toc11323648"/>
            <w:bookmarkEnd w:id="271"/>
            <w:r>
              <w:rPr>
                <w:rFonts w:hint="eastAsia" w:ascii="宋体" w:hAnsi="宋体" w:cs="宋体"/>
                <w:color w:val="000000"/>
                <w:sz w:val="18"/>
                <w:szCs w:val="18"/>
                <w:lang w:val="en-US" w:eastAsia="zh-CN"/>
              </w:rPr>
              <w:t>传动轴中间轴承和万向节不应有裂纹和松旷现象。</w:t>
            </w:r>
          </w:p>
        </w:tc>
        <w:tc>
          <w:tcPr>
            <w:tcW w:w="616" w:type="dxa"/>
            <w:vAlign w:val="center"/>
          </w:tcPr>
          <w:p>
            <w:pPr>
              <w:pStyle w:val="232"/>
              <w:snapToGrid w:val="0"/>
              <w:ind w:firstLine="0" w:firstLineChars="0"/>
              <w:jc w:val="center"/>
              <w:rPr>
                <w:bCs/>
                <w:sz w:val="18"/>
                <w:szCs w:val="18"/>
              </w:rPr>
            </w:pPr>
            <w:bookmarkStart w:id="272" w:name="_Toc11323649"/>
            <w:bookmarkEnd w:id="272"/>
          </w:p>
        </w:tc>
        <w:bookmarkStart w:id="273" w:name="_Toc11323651"/>
        <w:bookmarkStart w:id="274" w:name="_Toc11323650"/>
      </w:tr>
      <w:bookmarkEnd w:id="273"/>
      <w:bookmarkEnd w:id="2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bookmarkStart w:id="275" w:name="_Toc11323652"/>
            <w:bookmarkEnd w:id="275"/>
            <w:r>
              <w:rPr>
                <w:rFonts w:hint="eastAsia" w:ascii="宋体" w:hAnsi="宋体" w:cs="宋体"/>
                <w:color w:val="000000"/>
                <w:sz w:val="18"/>
                <w:szCs w:val="18"/>
                <w:lang w:val="en-US" w:eastAsia="zh-CN"/>
              </w:rPr>
              <w:t>燃料箱应固定可靠，不应漏油，燃料管路与其他部件不应有碰擦和明显老化现象。</w:t>
            </w:r>
          </w:p>
        </w:tc>
        <w:tc>
          <w:tcPr>
            <w:tcW w:w="630" w:type="dxa"/>
            <w:vAlign w:val="center"/>
          </w:tcPr>
          <w:p>
            <w:pPr>
              <w:spacing w:line="240" w:lineRule="exact"/>
              <w:rPr>
                <w:rFonts w:ascii="宋体" w:hAnsi="宋体" w:cs="宋体"/>
                <w:color w:val="000000"/>
                <w:sz w:val="18"/>
                <w:szCs w:val="18"/>
              </w:rPr>
            </w:pPr>
            <w:bookmarkStart w:id="276" w:name="_Toc11323653"/>
            <w:bookmarkEnd w:id="276"/>
          </w:p>
        </w:tc>
        <w:tc>
          <w:tcPr>
            <w:tcW w:w="587" w:type="dxa"/>
            <w:vAlign w:val="center"/>
          </w:tcPr>
          <w:p>
            <w:pPr>
              <w:pStyle w:val="232"/>
              <w:numPr>
                <w:ilvl w:val="0"/>
                <w:numId w:val="35"/>
              </w:numPr>
              <w:snapToGrid w:val="0"/>
              <w:spacing w:line="240" w:lineRule="exact"/>
              <w:ind w:firstLineChars="0"/>
              <w:jc w:val="center"/>
              <w:rPr>
                <w:sz w:val="18"/>
                <w:szCs w:val="18"/>
              </w:rPr>
            </w:pPr>
            <w:bookmarkStart w:id="277" w:name="_Toc11323654"/>
            <w:bookmarkEnd w:id="277"/>
          </w:p>
        </w:tc>
        <w:tc>
          <w:tcPr>
            <w:tcW w:w="3626" w:type="dxa"/>
            <w:vAlign w:val="center"/>
          </w:tcPr>
          <w:p>
            <w:pPr>
              <w:spacing w:line="240" w:lineRule="exact"/>
              <w:jc w:val="both"/>
              <w:rPr>
                <w:rFonts w:hint="eastAsia" w:ascii="宋体" w:hAnsi="宋体" w:cs="宋体"/>
                <w:color w:val="000000"/>
                <w:sz w:val="18"/>
                <w:szCs w:val="18"/>
                <w:lang w:val="en-US" w:eastAsia="zh-CN"/>
              </w:rPr>
            </w:pPr>
            <w:bookmarkStart w:id="278" w:name="_Toc11323655"/>
            <w:bookmarkEnd w:id="278"/>
            <w:r>
              <w:rPr>
                <w:rFonts w:hint="eastAsia" w:ascii="宋体" w:hAnsi="宋体" w:cs="宋体"/>
                <w:color w:val="000000"/>
                <w:sz w:val="18"/>
                <w:szCs w:val="18"/>
                <w:lang w:val="en-US" w:eastAsia="zh-CN"/>
              </w:rPr>
              <w:t>气体燃料车辆的气瓶、管路及接头应固定可靠，无泄漏现象。瓶身应无结霜、水滴凝结等现象。</w:t>
            </w:r>
          </w:p>
        </w:tc>
        <w:tc>
          <w:tcPr>
            <w:tcW w:w="616" w:type="dxa"/>
            <w:vAlign w:val="center"/>
          </w:tcPr>
          <w:p>
            <w:pPr>
              <w:pStyle w:val="232"/>
              <w:snapToGrid w:val="0"/>
              <w:ind w:firstLine="0" w:firstLineChars="0"/>
              <w:jc w:val="center"/>
              <w:rPr>
                <w:bCs/>
                <w:sz w:val="18"/>
                <w:szCs w:val="18"/>
              </w:rPr>
            </w:pPr>
            <w:bookmarkStart w:id="279" w:name="_Toc11323656"/>
            <w:bookmarkEnd w:id="279"/>
          </w:p>
        </w:tc>
        <w:bookmarkStart w:id="280" w:name="_Toc11323657"/>
        <w:bookmarkStart w:id="281" w:name="_Toc1132365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动力电池固定可靠，外壳不应有裂纹、外伤或电解液泄漏等情况。</w:t>
            </w:r>
          </w:p>
        </w:tc>
        <w:tc>
          <w:tcPr>
            <w:tcW w:w="630" w:type="dxa"/>
            <w:vAlign w:val="center"/>
          </w:tcPr>
          <w:p>
            <w:pPr>
              <w:spacing w:line="240" w:lineRule="exact"/>
              <w:rPr>
                <w:rFonts w:ascii="宋体" w:hAnsi="宋体" w:cs="宋体"/>
                <w:color w:val="000000"/>
                <w:sz w:val="18"/>
                <w:szCs w:val="18"/>
              </w:rPr>
            </w:pPr>
          </w:p>
        </w:tc>
        <w:tc>
          <w:tcPr>
            <w:tcW w:w="587" w:type="dxa"/>
            <w:vAlign w:val="center"/>
          </w:tcPr>
          <w:p>
            <w:pPr>
              <w:pStyle w:val="232"/>
              <w:numPr>
                <w:ilvl w:val="0"/>
                <w:numId w:val="35"/>
              </w:numPr>
              <w:snapToGrid w:val="0"/>
              <w:spacing w:line="240" w:lineRule="exact"/>
              <w:ind w:firstLineChars="0"/>
              <w:jc w:val="center"/>
              <w:rPr>
                <w:sz w:val="18"/>
                <w:szCs w:val="18"/>
              </w:rPr>
            </w:pPr>
          </w:p>
        </w:tc>
        <w:tc>
          <w:tcPr>
            <w:tcW w:w="3626"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外接充电接口表面不应有明显变形或烧蚀痕迹。</w:t>
            </w:r>
          </w:p>
        </w:tc>
        <w:tc>
          <w:tcPr>
            <w:tcW w:w="616"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fldChar w:fldCharType="begin"/>
            </w:r>
            <w:r>
              <w:rPr>
                <w:rFonts w:hint="eastAsia" w:ascii="宋体" w:hAnsi="宋体" w:cs="宋体"/>
                <w:color w:val="000000"/>
                <w:sz w:val="18"/>
                <w:szCs w:val="18"/>
                <w:lang w:val="en-US" w:eastAsia="zh-CN"/>
              </w:rPr>
              <w:instrText xml:space="preserve"> HYPERLINK "http://www.baidu.com/link?url=wDWCZVWefvA4tJForjggw3_frgOUfK-QAXFsZjQX1lSD0_3Ab0d_po7EUfnm2gs8EzL6zMP9O58p81bETo1YtSuQmymFePVxygcRlx8YpHGAKWrd9WSB1llRcsnQfLqA" \o "http://www.baidu.com/link?url=wDWCZVWefvA4tJForjggw3_frgOUfK-QAXFsZjQX1lSD0_3Ab0d_po7EUfnm2gs8EzL6zMP9O58p81bETo1YtSuQmymFePVxygcRlx8YpHGAKWrd9WSB1llRcsnQfLqA" </w:instrText>
            </w:r>
            <w:r>
              <w:rPr>
                <w:rFonts w:hint="eastAsia" w:ascii="宋体" w:hAnsi="宋体" w:cs="宋体"/>
                <w:color w:val="000000"/>
                <w:sz w:val="18"/>
                <w:szCs w:val="18"/>
                <w:lang w:val="en-US" w:eastAsia="zh-CN"/>
              </w:rPr>
              <w:fldChar w:fldCharType="separate"/>
            </w:r>
            <w:r>
              <w:rPr>
                <w:rFonts w:hint="eastAsia" w:ascii="宋体" w:hAnsi="宋体" w:cs="宋体"/>
                <w:color w:val="000000"/>
                <w:sz w:val="18"/>
                <w:szCs w:val="18"/>
                <w:lang w:val="en-US" w:eastAsia="zh-CN"/>
              </w:rPr>
              <w:t>手动维护开关（MSD）外观应完好，插合到位，防松脱装置处于锁止状态。</w:t>
            </w:r>
            <w:r>
              <w:rPr>
                <w:rFonts w:hint="eastAsia" w:ascii="宋体" w:hAnsi="宋体" w:cs="宋体"/>
                <w:color w:val="000000"/>
                <w:sz w:val="18"/>
                <w:szCs w:val="18"/>
                <w:lang w:val="en-US" w:eastAsia="zh-CN"/>
              </w:rPr>
              <w:fldChar w:fldCharType="end"/>
            </w:r>
          </w:p>
        </w:tc>
        <w:tc>
          <w:tcPr>
            <w:tcW w:w="630" w:type="dxa"/>
            <w:vAlign w:val="center"/>
          </w:tcPr>
          <w:p>
            <w:pPr>
              <w:spacing w:line="240" w:lineRule="exact"/>
              <w:rPr>
                <w:rFonts w:ascii="宋体" w:hAnsi="宋体" w:cs="宋体"/>
                <w:color w:val="000000"/>
                <w:sz w:val="18"/>
                <w:szCs w:val="18"/>
              </w:rPr>
            </w:pPr>
          </w:p>
        </w:tc>
        <w:tc>
          <w:tcPr>
            <w:tcW w:w="587" w:type="dxa"/>
            <w:vAlign w:val="center"/>
          </w:tcPr>
          <w:p>
            <w:pPr>
              <w:pStyle w:val="232"/>
              <w:numPr>
                <w:ilvl w:val="0"/>
                <w:numId w:val="35"/>
              </w:numPr>
              <w:snapToGrid w:val="0"/>
              <w:spacing w:line="240" w:lineRule="exact"/>
              <w:ind w:firstLineChars="0"/>
              <w:jc w:val="center"/>
              <w:rPr>
                <w:sz w:val="18"/>
                <w:szCs w:val="18"/>
              </w:rPr>
            </w:pPr>
          </w:p>
        </w:tc>
        <w:tc>
          <w:tcPr>
            <w:tcW w:w="3626" w:type="dxa"/>
            <w:vAlign w:val="center"/>
          </w:tcPr>
          <w:p>
            <w:pPr>
              <w:spacing w:line="240" w:lineRule="exact"/>
              <w:jc w:val="both"/>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车辆不应有与防抱制动装置（ABS）、电动助力转向系统（EPS）及其他与行车安全相关的故障信息。纯电动汽车、插电式混合动力汽车、燃料电池汽车不应有与电驱动系统、高压绝缘、动力电池等有关的报警信号。</w:t>
            </w:r>
          </w:p>
        </w:tc>
        <w:tc>
          <w:tcPr>
            <w:tcW w:w="616" w:type="dxa"/>
            <w:vAlign w:val="center"/>
          </w:tcPr>
          <w:p>
            <w:pPr>
              <w:pStyle w:val="232"/>
              <w:snapToGrid w:val="0"/>
              <w:ind w:firstLine="0" w:firstLineChars="0"/>
              <w:jc w:val="center"/>
              <w:rPr>
                <w:bCs/>
                <w:sz w:val="18"/>
                <w:szCs w:val="18"/>
              </w:rPr>
            </w:pPr>
          </w:p>
        </w:tc>
      </w:tr>
      <w:bookmarkEnd w:id="280"/>
      <w:bookmarkEnd w:id="2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bookmarkStart w:id="282" w:name="_Toc11323659"/>
            <w:bookmarkEnd w:id="282"/>
            <w:r>
              <w:rPr>
                <w:rFonts w:hint="eastAsia" w:ascii="宋体" w:hAnsi="宋体" w:cs="宋体"/>
                <w:color w:val="000000"/>
                <w:sz w:val="18"/>
                <w:szCs w:val="18"/>
                <w:lang w:val="en-US" w:eastAsia="zh-CN"/>
              </w:rPr>
              <w:t>仪表板指示灯应显示正常。</w:t>
            </w:r>
          </w:p>
        </w:tc>
        <w:tc>
          <w:tcPr>
            <w:tcW w:w="630" w:type="dxa"/>
            <w:vAlign w:val="center"/>
          </w:tcPr>
          <w:p>
            <w:pPr>
              <w:spacing w:line="240" w:lineRule="exact"/>
              <w:rPr>
                <w:rFonts w:ascii="宋体" w:hAnsi="宋体" w:cs="宋体"/>
                <w:color w:val="000000"/>
                <w:sz w:val="18"/>
                <w:szCs w:val="18"/>
              </w:rPr>
            </w:pPr>
            <w:bookmarkStart w:id="283" w:name="_Toc11323660"/>
            <w:bookmarkEnd w:id="283"/>
          </w:p>
        </w:tc>
        <w:tc>
          <w:tcPr>
            <w:tcW w:w="587" w:type="dxa"/>
            <w:vAlign w:val="center"/>
          </w:tcPr>
          <w:p>
            <w:pPr>
              <w:pStyle w:val="232"/>
              <w:numPr>
                <w:ilvl w:val="0"/>
                <w:numId w:val="35"/>
              </w:numPr>
              <w:snapToGrid w:val="0"/>
              <w:spacing w:line="240" w:lineRule="exact"/>
              <w:ind w:firstLineChars="0"/>
              <w:jc w:val="center"/>
              <w:rPr>
                <w:sz w:val="18"/>
                <w:szCs w:val="18"/>
              </w:rPr>
            </w:pPr>
            <w:bookmarkStart w:id="284" w:name="_Toc11323661"/>
            <w:bookmarkEnd w:id="284"/>
          </w:p>
        </w:tc>
        <w:tc>
          <w:tcPr>
            <w:tcW w:w="3626" w:type="dxa"/>
            <w:vAlign w:val="center"/>
          </w:tcPr>
          <w:p>
            <w:pPr>
              <w:spacing w:line="240" w:lineRule="exact"/>
              <w:jc w:val="both"/>
              <w:rPr>
                <w:rFonts w:hint="eastAsia" w:ascii="宋体" w:hAnsi="宋体" w:cs="宋体"/>
                <w:color w:val="000000"/>
                <w:sz w:val="18"/>
                <w:szCs w:val="18"/>
                <w:lang w:val="en-US" w:eastAsia="zh-CN"/>
              </w:rPr>
            </w:pPr>
            <w:bookmarkStart w:id="285" w:name="_Toc11323662"/>
            <w:bookmarkEnd w:id="285"/>
            <w:r>
              <w:rPr>
                <w:rFonts w:hint="eastAsia" w:ascii="宋体" w:hAnsi="宋体" w:cs="宋体"/>
                <w:color w:val="000000"/>
                <w:sz w:val="18"/>
                <w:szCs w:val="18"/>
                <w:lang w:val="en-US" w:eastAsia="zh-CN"/>
              </w:rPr>
              <w:t>发动机、驱动电机应运转平稳，无异响。发动机怠速稳定。</w:t>
            </w:r>
          </w:p>
        </w:tc>
        <w:tc>
          <w:tcPr>
            <w:tcW w:w="616" w:type="dxa"/>
            <w:vAlign w:val="center"/>
          </w:tcPr>
          <w:p>
            <w:pPr>
              <w:pStyle w:val="232"/>
              <w:snapToGrid w:val="0"/>
              <w:ind w:firstLine="0" w:firstLineChars="0"/>
              <w:jc w:val="center"/>
              <w:rPr>
                <w:bCs/>
                <w:sz w:val="18"/>
                <w:szCs w:val="18"/>
              </w:rPr>
            </w:pPr>
            <w:bookmarkStart w:id="286" w:name="_Toc11323663"/>
            <w:bookmarkEnd w:id="286"/>
          </w:p>
        </w:tc>
        <w:bookmarkStart w:id="287" w:name="_Toc11323665"/>
        <w:bookmarkStart w:id="288" w:name="_Toc11323664"/>
      </w:tr>
      <w:bookmarkEnd w:id="287"/>
      <w:bookmarkEnd w:id="2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bookmarkStart w:id="289" w:name="_Toc11323666"/>
            <w:bookmarkEnd w:id="289"/>
            <w:r>
              <w:rPr>
                <w:rFonts w:hint="eastAsia" w:ascii="宋体" w:hAnsi="宋体" w:cs="宋体"/>
                <w:color w:val="000000"/>
                <w:sz w:val="18"/>
                <w:szCs w:val="18"/>
                <w:lang w:val="en-US" w:eastAsia="zh-CN"/>
              </w:rPr>
              <w:t>喇叭应工作正常。</w:t>
            </w:r>
          </w:p>
        </w:tc>
        <w:tc>
          <w:tcPr>
            <w:tcW w:w="630" w:type="dxa"/>
            <w:vAlign w:val="center"/>
          </w:tcPr>
          <w:p>
            <w:pPr>
              <w:spacing w:line="240" w:lineRule="exact"/>
              <w:rPr>
                <w:rFonts w:ascii="宋体" w:hAnsi="宋体" w:cs="宋体"/>
                <w:color w:val="000000"/>
                <w:sz w:val="18"/>
                <w:szCs w:val="18"/>
              </w:rPr>
            </w:pPr>
            <w:bookmarkStart w:id="290" w:name="_Toc11323667"/>
            <w:bookmarkEnd w:id="290"/>
          </w:p>
        </w:tc>
        <w:tc>
          <w:tcPr>
            <w:tcW w:w="587" w:type="dxa"/>
            <w:vAlign w:val="center"/>
          </w:tcPr>
          <w:p>
            <w:pPr>
              <w:pStyle w:val="232"/>
              <w:numPr>
                <w:ilvl w:val="0"/>
                <w:numId w:val="35"/>
              </w:numPr>
              <w:snapToGrid w:val="0"/>
              <w:spacing w:line="240" w:lineRule="exact"/>
              <w:ind w:firstLineChars="0"/>
              <w:jc w:val="center"/>
              <w:rPr>
                <w:sz w:val="18"/>
                <w:szCs w:val="18"/>
              </w:rPr>
            </w:pPr>
            <w:bookmarkStart w:id="291" w:name="_Toc11323668"/>
            <w:bookmarkEnd w:id="291"/>
          </w:p>
        </w:tc>
        <w:tc>
          <w:tcPr>
            <w:tcW w:w="3626" w:type="dxa"/>
            <w:vAlign w:val="center"/>
          </w:tcPr>
          <w:p>
            <w:pPr>
              <w:spacing w:line="240" w:lineRule="exact"/>
              <w:jc w:val="both"/>
              <w:rPr>
                <w:rFonts w:hint="eastAsia" w:ascii="宋体" w:hAnsi="宋体" w:cs="宋体"/>
                <w:color w:val="000000"/>
                <w:sz w:val="18"/>
                <w:szCs w:val="18"/>
                <w:lang w:val="en-US" w:eastAsia="zh-CN"/>
              </w:rPr>
            </w:pPr>
            <w:bookmarkStart w:id="292" w:name="_Toc11323669"/>
            <w:bookmarkEnd w:id="292"/>
            <w:r>
              <w:rPr>
                <w:rFonts w:hint="eastAsia" w:ascii="宋体" w:hAnsi="宋体" w:cs="宋体"/>
                <w:color w:val="000000"/>
                <w:sz w:val="18"/>
                <w:szCs w:val="18"/>
                <w:lang w:val="en-US" w:eastAsia="zh-CN"/>
              </w:rPr>
              <w:t>所有灯具应可通过开关或手柄等操作正常开启和关闭，对称设置、功能相同灯具的光色和亮度不应有明显差异。</w:t>
            </w:r>
          </w:p>
        </w:tc>
        <w:tc>
          <w:tcPr>
            <w:tcW w:w="616" w:type="dxa"/>
            <w:vAlign w:val="center"/>
          </w:tcPr>
          <w:p>
            <w:pPr>
              <w:pStyle w:val="232"/>
              <w:snapToGrid w:val="0"/>
              <w:ind w:firstLine="0" w:firstLineChars="0"/>
              <w:jc w:val="center"/>
              <w:rPr>
                <w:bCs/>
                <w:sz w:val="18"/>
                <w:szCs w:val="18"/>
              </w:rPr>
            </w:pPr>
            <w:bookmarkStart w:id="293" w:name="_Toc11323670"/>
            <w:bookmarkEnd w:id="293"/>
          </w:p>
        </w:tc>
        <w:bookmarkStart w:id="294" w:name="_Toc11323671"/>
        <w:bookmarkStart w:id="295" w:name="_Toc11323672"/>
      </w:tr>
      <w:bookmarkEnd w:id="294"/>
      <w:bookmarkEnd w:id="2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bookmarkStart w:id="296" w:name="_Toc11323673"/>
            <w:bookmarkEnd w:id="296"/>
            <w:r>
              <w:rPr>
                <w:rFonts w:hint="eastAsia" w:ascii="宋体" w:hAnsi="宋体" w:cs="宋体"/>
                <w:color w:val="000000"/>
                <w:sz w:val="18"/>
                <w:szCs w:val="18"/>
                <w:lang w:val="en-US" w:eastAsia="zh-CN"/>
              </w:rPr>
              <w:t>排气系统应无漏气和异常噪声。</w:t>
            </w:r>
          </w:p>
        </w:tc>
        <w:tc>
          <w:tcPr>
            <w:tcW w:w="630" w:type="dxa"/>
            <w:vAlign w:val="center"/>
          </w:tcPr>
          <w:p>
            <w:pPr>
              <w:spacing w:line="240" w:lineRule="exact"/>
              <w:rPr>
                <w:rFonts w:ascii="宋体" w:hAnsi="宋体" w:cs="宋体"/>
                <w:color w:val="000000"/>
                <w:sz w:val="18"/>
                <w:szCs w:val="18"/>
              </w:rPr>
            </w:pPr>
            <w:bookmarkStart w:id="297" w:name="_Toc11323674"/>
            <w:bookmarkEnd w:id="297"/>
          </w:p>
        </w:tc>
        <w:tc>
          <w:tcPr>
            <w:tcW w:w="587" w:type="dxa"/>
            <w:vAlign w:val="center"/>
          </w:tcPr>
          <w:p>
            <w:pPr>
              <w:pStyle w:val="232"/>
              <w:numPr>
                <w:ilvl w:val="0"/>
                <w:numId w:val="35"/>
              </w:numPr>
              <w:snapToGrid w:val="0"/>
              <w:spacing w:line="240" w:lineRule="exact"/>
              <w:ind w:firstLineChars="0"/>
              <w:jc w:val="center"/>
              <w:rPr>
                <w:sz w:val="18"/>
                <w:szCs w:val="18"/>
              </w:rPr>
            </w:pPr>
            <w:bookmarkStart w:id="298" w:name="_Toc11323675"/>
            <w:bookmarkEnd w:id="298"/>
          </w:p>
        </w:tc>
        <w:tc>
          <w:tcPr>
            <w:tcW w:w="3626" w:type="dxa"/>
            <w:vAlign w:val="center"/>
          </w:tcPr>
          <w:p>
            <w:pPr>
              <w:spacing w:line="240" w:lineRule="exact"/>
              <w:jc w:val="both"/>
              <w:rPr>
                <w:rFonts w:hint="eastAsia" w:ascii="宋体" w:hAnsi="宋体" w:cs="宋体"/>
                <w:color w:val="000000"/>
                <w:sz w:val="18"/>
                <w:szCs w:val="18"/>
                <w:lang w:val="en-US" w:eastAsia="zh-CN"/>
              </w:rPr>
            </w:pPr>
            <w:bookmarkStart w:id="299" w:name="_Toc11323676"/>
            <w:bookmarkEnd w:id="299"/>
            <w:r>
              <w:rPr>
                <w:rFonts w:hint="eastAsia" w:ascii="宋体" w:hAnsi="宋体" w:cs="宋体"/>
                <w:color w:val="000000"/>
                <w:sz w:val="18"/>
                <w:szCs w:val="18"/>
                <w:lang w:val="en-US" w:eastAsia="zh-CN"/>
              </w:rPr>
              <w:t>方向盘应转动灵活，操纵方便，无卡滞现象。</w:t>
            </w:r>
          </w:p>
        </w:tc>
        <w:tc>
          <w:tcPr>
            <w:tcW w:w="616" w:type="dxa"/>
            <w:vAlign w:val="center"/>
          </w:tcPr>
          <w:p>
            <w:pPr>
              <w:pStyle w:val="232"/>
              <w:snapToGrid w:val="0"/>
              <w:ind w:firstLine="0" w:firstLineChars="0"/>
              <w:jc w:val="center"/>
              <w:rPr>
                <w:bCs/>
                <w:sz w:val="18"/>
                <w:szCs w:val="18"/>
              </w:rPr>
            </w:pPr>
            <w:bookmarkStart w:id="300" w:name="_Toc11323677"/>
            <w:bookmarkEnd w:id="300"/>
          </w:p>
        </w:tc>
        <w:bookmarkStart w:id="301" w:name="_Toc11323678"/>
        <w:bookmarkStart w:id="302" w:name="_Toc11323679"/>
      </w:tr>
      <w:bookmarkEnd w:id="301"/>
      <w:bookmarkEnd w:id="3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bookmarkStart w:id="303" w:name="_Toc11323680"/>
            <w:bookmarkEnd w:id="303"/>
            <w:r>
              <w:rPr>
                <w:rFonts w:hint="eastAsia" w:ascii="宋体" w:hAnsi="宋体" w:cs="宋体"/>
                <w:color w:val="000000"/>
                <w:sz w:val="18"/>
                <w:szCs w:val="18"/>
                <w:lang w:val="en-US" w:eastAsia="zh-CN"/>
              </w:rPr>
              <w:t>方向盘的最大自由转动量应小于等于15°。</w:t>
            </w:r>
          </w:p>
        </w:tc>
        <w:tc>
          <w:tcPr>
            <w:tcW w:w="630" w:type="dxa"/>
            <w:vAlign w:val="center"/>
          </w:tcPr>
          <w:p>
            <w:pPr>
              <w:spacing w:line="240" w:lineRule="exact"/>
              <w:rPr>
                <w:rFonts w:ascii="宋体" w:hAnsi="宋体" w:cs="宋体"/>
                <w:color w:val="000000"/>
                <w:sz w:val="18"/>
                <w:szCs w:val="18"/>
              </w:rPr>
            </w:pPr>
            <w:bookmarkStart w:id="304" w:name="_Toc11323681"/>
            <w:bookmarkEnd w:id="304"/>
          </w:p>
        </w:tc>
        <w:tc>
          <w:tcPr>
            <w:tcW w:w="587" w:type="dxa"/>
            <w:vAlign w:val="center"/>
          </w:tcPr>
          <w:p>
            <w:pPr>
              <w:pStyle w:val="232"/>
              <w:numPr>
                <w:ilvl w:val="0"/>
                <w:numId w:val="35"/>
              </w:numPr>
              <w:snapToGrid w:val="0"/>
              <w:spacing w:line="240" w:lineRule="exact"/>
              <w:ind w:firstLineChars="0"/>
              <w:jc w:val="center"/>
              <w:rPr>
                <w:sz w:val="18"/>
                <w:szCs w:val="18"/>
              </w:rPr>
            </w:pPr>
            <w:bookmarkStart w:id="305" w:name="_Toc11323682"/>
            <w:bookmarkEnd w:id="305"/>
          </w:p>
        </w:tc>
        <w:tc>
          <w:tcPr>
            <w:tcW w:w="3626" w:type="dxa"/>
            <w:vAlign w:val="center"/>
          </w:tcPr>
          <w:p>
            <w:pPr>
              <w:spacing w:line="240" w:lineRule="exact"/>
              <w:jc w:val="both"/>
              <w:rPr>
                <w:rFonts w:hint="eastAsia" w:ascii="宋体" w:hAnsi="宋体" w:cs="宋体"/>
                <w:color w:val="000000"/>
                <w:sz w:val="18"/>
                <w:szCs w:val="18"/>
                <w:lang w:val="en-US" w:eastAsia="zh-CN"/>
              </w:rPr>
            </w:pPr>
            <w:bookmarkStart w:id="306" w:name="_Toc11323683"/>
            <w:bookmarkEnd w:id="306"/>
            <w:r>
              <w:rPr>
                <w:rFonts w:hint="eastAsia" w:ascii="宋体" w:hAnsi="宋体" w:cs="宋体"/>
                <w:color w:val="000000"/>
                <w:sz w:val="18"/>
                <w:szCs w:val="18"/>
                <w:lang w:val="en-US" w:eastAsia="zh-CN"/>
              </w:rPr>
              <w:t>制动时制动踏板动作应正常，响应迅速，方向盘无抖动，无跑偏现象。</w:t>
            </w:r>
          </w:p>
        </w:tc>
        <w:tc>
          <w:tcPr>
            <w:tcW w:w="616" w:type="dxa"/>
            <w:vAlign w:val="center"/>
          </w:tcPr>
          <w:p>
            <w:pPr>
              <w:pStyle w:val="232"/>
              <w:snapToGrid w:val="0"/>
              <w:ind w:firstLine="0" w:firstLineChars="0"/>
              <w:jc w:val="center"/>
              <w:rPr>
                <w:bCs/>
                <w:sz w:val="18"/>
                <w:szCs w:val="18"/>
              </w:rPr>
            </w:pPr>
            <w:bookmarkStart w:id="307" w:name="_Toc11323684"/>
            <w:bookmarkEnd w:id="307"/>
          </w:p>
        </w:tc>
        <w:bookmarkStart w:id="308" w:name="_Toc11323685"/>
        <w:bookmarkStart w:id="309" w:name="_Toc11323686"/>
      </w:tr>
      <w:bookmarkEnd w:id="308"/>
      <w:bookmarkEnd w:id="3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5"/>
              </w:numPr>
              <w:snapToGrid w:val="0"/>
              <w:ind w:firstLineChars="0"/>
              <w:jc w:val="center"/>
              <w:rPr>
                <w:sz w:val="18"/>
                <w:szCs w:val="18"/>
              </w:rPr>
            </w:pPr>
          </w:p>
        </w:tc>
        <w:tc>
          <w:tcPr>
            <w:tcW w:w="3948" w:type="dxa"/>
            <w:vAlign w:val="center"/>
          </w:tcPr>
          <w:p>
            <w:pPr>
              <w:spacing w:line="240" w:lineRule="exact"/>
              <w:jc w:val="both"/>
              <w:rPr>
                <w:rFonts w:hint="eastAsia" w:ascii="宋体" w:hAnsi="宋体" w:cs="宋体"/>
                <w:color w:val="000000"/>
                <w:sz w:val="18"/>
                <w:szCs w:val="18"/>
                <w:lang w:val="en-US" w:eastAsia="zh-CN"/>
              </w:rPr>
            </w:pPr>
            <w:bookmarkStart w:id="310" w:name="_Toc11323687"/>
            <w:bookmarkEnd w:id="310"/>
            <w:r>
              <w:rPr>
                <w:rFonts w:hint="eastAsia" w:ascii="宋体" w:hAnsi="宋体" w:cs="宋体"/>
                <w:color w:val="000000"/>
                <w:sz w:val="18"/>
                <w:szCs w:val="18"/>
                <w:lang w:val="en-US" w:eastAsia="zh-CN"/>
              </w:rPr>
              <w:t>离合器应接合平稳，分离彻底，工作时不应有异响、抖动或不正常打滑等现象。</w:t>
            </w:r>
          </w:p>
        </w:tc>
        <w:tc>
          <w:tcPr>
            <w:tcW w:w="630" w:type="dxa"/>
            <w:vAlign w:val="center"/>
          </w:tcPr>
          <w:p>
            <w:pPr>
              <w:spacing w:line="240" w:lineRule="exact"/>
              <w:rPr>
                <w:rFonts w:ascii="宋体" w:hAnsi="宋体" w:cs="宋体"/>
                <w:color w:val="000000"/>
                <w:sz w:val="18"/>
                <w:szCs w:val="18"/>
              </w:rPr>
            </w:pPr>
            <w:bookmarkStart w:id="311" w:name="_Toc11323688"/>
            <w:bookmarkEnd w:id="311"/>
          </w:p>
        </w:tc>
        <w:tc>
          <w:tcPr>
            <w:tcW w:w="587" w:type="dxa"/>
            <w:vAlign w:val="center"/>
          </w:tcPr>
          <w:p>
            <w:pPr>
              <w:pStyle w:val="232"/>
              <w:numPr>
                <w:ilvl w:val="0"/>
                <w:numId w:val="35"/>
              </w:numPr>
              <w:snapToGrid w:val="0"/>
              <w:spacing w:line="240" w:lineRule="exact"/>
              <w:ind w:firstLineChars="0"/>
              <w:jc w:val="center"/>
              <w:rPr>
                <w:sz w:val="18"/>
                <w:szCs w:val="18"/>
              </w:rPr>
            </w:pPr>
            <w:bookmarkStart w:id="312" w:name="_Toc11323689"/>
            <w:bookmarkEnd w:id="312"/>
          </w:p>
        </w:tc>
        <w:tc>
          <w:tcPr>
            <w:tcW w:w="3626" w:type="dxa"/>
            <w:vAlign w:val="center"/>
          </w:tcPr>
          <w:p>
            <w:pPr>
              <w:spacing w:line="240" w:lineRule="exact"/>
              <w:jc w:val="both"/>
              <w:rPr>
                <w:rFonts w:hint="eastAsia" w:ascii="宋体" w:hAnsi="宋体" w:cs="宋体"/>
                <w:color w:val="000000"/>
                <w:sz w:val="18"/>
                <w:szCs w:val="18"/>
                <w:lang w:val="en-US" w:eastAsia="zh-CN"/>
              </w:rPr>
            </w:pPr>
            <w:bookmarkStart w:id="313" w:name="_Toc11323690"/>
            <w:bookmarkEnd w:id="313"/>
            <w:r>
              <w:rPr>
                <w:rFonts w:hint="eastAsia" w:ascii="宋体" w:hAnsi="宋体" w:cs="宋体"/>
                <w:color w:val="000000"/>
                <w:sz w:val="18"/>
                <w:szCs w:val="18"/>
                <w:lang w:val="en-US" w:eastAsia="zh-CN"/>
              </w:rPr>
              <w:t>换挡时齿轮应啮合灵便，互锁、自锁和倒挡锁装置应有效，不应有乱挡和自行跳挡现象，运行中应无异响。</w:t>
            </w:r>
          </w:p>
        </w:tc>
        <w:tc>
          <w:tcPr>
            <w:tcW w:w="616" w:type="dxa"/>
            <w:vAlign w:val="center"/>
          </w:tcPr>
          <w:p>
            <w:pPr>
              <w:pStyle w:val="232"/>
              <w:snapToGrid w:val="0"/>
              <w:ind w:firstLine="0" w:firstLineChars="0"/>
              <w:jc w:val="center"/>
              <w:rPr>
                <w:bCs/>
                <w:sz w:val="18"/>
                <w:szCs w:val="18"/>
              </w:rPr>
            </w:pPr>
            <w:bookmarkStart w:id="314" w:name="_Toc11323691"/>
            <w:bookmarkEnd w:id="314"/>
          </w:p>
        </w:tc>
        <w:bookmarkStart w:id="315" w:name="_Toc11323693"/>
        <w:bookmarkStart w:id="316" w:name="_Toc11323692"/>
      </w:tr>
      <w:bookmarkEnd w:id="315"/>
      <w:bookmarkEnd w:id="316"/>
    </w:tbl>
    <w:p>
      <w:r>
        <w:br w:type="page"/>
      </w:r>
    </w:p>
    <w:p>
      <w:pPr>
        <w:pStyle w:val="252"/>
        <w:spacing w:beforeLines="0" w:afterLines="0"/>
      </w:pPr>
      <w:r>
        <w:rPr>
          <w:rFonts w:hint="eastAsia"/>
        </w:rPr>
        <w:t xml:space="preserve">表A.1  </w:t>
      </w:r>
      <w:r>
        <w:t>二手乘用车出口</w:t>
      </w:r>
      <w:r>
        <w:rPr>
          <w:rFonts w:hint="eastAsia"/>
          <w:lang w:val="en-US" w:eastAsia="zh-CN"/>
        </w:rPr>
        <w:t>质量报告</w:t>
      </w:r>
      <w:r>
        <w:rPr>
          <w:rFonts w:hint="eastAsia"/>
        </w:rPr>
        <w:t>作业</w:t>
      </w:r>
      <w:r>
        <w:t>表</w:t>
      </w:r>
      <w:r>
        <w:rPr>
          <w:rFonts w:hint="eastAsia"/>
        </w:rPr>
        <w:t>（式样）（续）</w:t>
      </w:r>
    </w:p>
    <w:tbl>
      <w:tblPr>
        <w:tblStyle w:val="27"/>
        <w:tblW w:w="10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3948"/>
        <w:gridCol w:w="630"/>
        <w:gridCol w:w="587"/>
        <w:gridCol w:w="3626"/>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04" w:type="dxa"/>
            <w:gridSpan w:val="6"/>
            <w:vAlign w:val="center"/>
          </w:tcPr>
          <w:p>
            <w:pPr>
              <w:pStyle w:val="232"/>
              <w:snapToGrid w:val="0"/>
              <w:ind w:firstLine="0" w:firstLineChars="0"/>
              <w:jc w:val="left"/>
              <w:rPr>
                <w:b/>
                <w:bCs/>
                <w:sz w:val="18"/>
                <w:szCs w:val="18"/>
              </w:rPr>
            </w:pPr>
            <w:r>
              <w:rPr>
                <w:rFonts w:hint="eastAsia" w:hAnsi="宋体" w:cs="宋体"/>
                <w:b/>
                <w:color w:val="000000"/>
                <w:sz w:val="18"/>
                <w:szCs w:val="18"/>
              </w:rPr>
              <w:t>五、仪器设备</w:t>
            </w:r>
            <w:r>
              <w:rPr>
                <w:rFonts w:hint="eastAsia" w:hAnsi="宋体" w:cs="宋体"/>
                <w:b/>
                <w:color w:val="000000"/>
                <w:sz w:val="18"/>
                <w:szCs w:val="1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snapToGrid w:val="0"/>
              <w:ind w:firstLine="0" w:firstLineChars="0"/>
              <w:jc w:val="center"/>
              <w:rPr>
                <w:sz w:val="18"/>
                <w:szCs w:val="18"/>
              </w:rPr>
            </w:pPr>
            <w:r>
              <w:rPr>
                <w:sz w:val="18"/>
                <w:szCs w:val="18"/>
              </w:rPr>
              <w:t>序号</w:t>
            </w:r>
          </w:p>
        </w:tc>
        <w:tc>
          <w:tcPr>
            <w:tcW w:w="3948" w:type="dxa"/>
            <w:vAlign w:val="center"/>
          </w:tcPr>
          <w:p>
            <w:pPr>
              <w:pStyle w:val="232"/>
              <w:snapToGrid w:val="0"/>
              <w:ind w:firstLine="0" w:firstLineChars="0"/>
              <w:jc w:val="center"/>
              <w:rPr>
                <w:sz w:val="18"/>
                <w:szCs w:val="18"/>
              </w:rPr>
            </w:pPr>
            <w:r>
              <w:rPr>
                <w:sz w:val="18"/>
                <w:szCs w:val="18"/>
              </w:rPr>
              <w:t>项目</w:t>
            </w:r>
          </w:p>
        </w:tc>
        <w:tc>
          <w:tcPr>
            <w:tcW w:w="630" w:type="dxa"/>
            <w:vAlign w:val="center"/>
          </w:tcPr>
          <w:p>
            <w:pPr>
              <w:pStyle w:val="232"/>
              <w:snapToGrid w:val="0"/>
              <w:ind w:firstLine="0" w:firstLineChars="0"/>
              <w:jc w:val="center"/>
              <w:rPr>
                <w:sz w:val="18"/>
                <w:szCs w:val="18"/>
              </w:rPr>
            </w:pPr>
            <w:r>
              <w:rPr>
                <w:sz w:val="18"/>
                <w:szCs w:val="18"/>
              </w:rPr>
              <w:t>判定</w:t>
            </w:r>
          </w:p>
        </w:tc>
        <w:tc>
          <w:tcPr>
            <w:tcW w:w="587" w:type="dxa"/>
            <w:vAlign w:val="center"/>
          </w:tcPr>
          <w:p>
            <w:pPr>
              <w:pStyle w:val="232"/>
              <w:snapToGrid w:val="0"/>
              <w:ind w:firstLine="0" w:firstLineChars="0"/>
              <w:jc w:val="center"/>
              <w:rPr>
                <w:sz w:val="18"/>
                <w:szCs w:val="18"/>
              </w:rPr>
            </w:pPr>
            <w:r>
              <w:rPr>
                <w:sz w:val="18"/>
                <w:szCs w:val="18"/>
              </w:rPr>
              <w:t>序号</w:t>
            </w:r>
          </w:p>
        </w:tc>
        <w:tc>
          <w:tcPr>
            <w:tcW w:w="3626" w:type="dxa"/>
            <w:vAlign w:val="center"/>
          </w:tcPr>
          <w:p>
            <w:pPr>
              <w:pStyle w:val="232"/>
              <w:snapToGrid w:val="0"/>
              <w:ind w:firstLine="0" w:firstLineChars="0"/>
              <w:jc w:val="center"/>
              <w:rPr>
                <w:sz w:val="18"/>
                <w:szCs w:val="18"/>
              </w:rPr>
            </w:pPr>
            <w:r>
              <w:rPr>
                <w:sz w:val="18"/>
                <w:szCs w:val="18"/>
              </w:rPr>
              <w:t>项目</w:t>
            </w:r>
          </w:p>
        </w:tc>
        <w:tc>
          <w:tcPr>
            <w:tcW w:w="616" w:type="dxa"/>
            <w:vAlign w:val="center"/>
          </w:tcPr>
          <w:p>
            <w:pPr>
              <w:pStyle w:val="232"/>
              <w:snapToGrid w:val="0"/>
              <w:ind w:firstLine="0" w:firstLineChars="0"/>
              <w:jc w:val="center"/>
              <w:rPr>
                <w:sz w:val="18"/>
                <w:szCs w:val="18"/>
              </w:rPr>
            </w:pPr>
            <w:r>
              <w:rPr>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7" w:type="dxa"/>
            <w:vAlign w:val="center"/>
          </w:tcPr>
          <w:p>
            <w:pPr>
              <w:pStyle w:val="232"/>
              <w:numPr>
                <w:ilvl w:val="0"/>
                <w:numId w:val="36"/>
              </w:numPr>
              <w:snapToGrid w:val="0"/>
              <w:ind w:firstLineChars="0"/>
              <w:jc w:val="center"/>
              <w:rPr>
                <w:color w:val="000000"/>
                <w:sz w:val="18"/>
                <w:szCs w:val="18"/>
              </w:rPr>
            </w:pPr>
          </w:p>
        </w:tc>
        <w:tc>
          <w:tcPr>
            <w:tcW w:w="3948" w:type="dxa"/>
            <w:vAlign w:val="center"/>
          </w:tcPr>
          <w:p>
            <w:pPr>
              <w:rPr>
                <w:rFonts w:ascii="宋体" w:hAnsi="宋体" w:cs="宋体"/>
                <w:color w:val="000000"/>
                <w:sz w:val="18"/>
                <w:szCs w:val="18"/>
              </w:rPr>
            </w:pPr>
            <w:r>
              <w:rPr>
                <w:rFonts w:hint="eastAsia" w:ascii="宋体" w:hAnsi="宋体" w:cs="宋体"/>
                <w:color w:val="000000"/>
                <w:sz w:val="18"/>
                <w:szCs w:val="18"/>
              </w:rPr>
              <w:t>车辆在年检有效期内。</w:t>
            </w:r>
          </w:p>
        </w:tc>
        <w:tc>
          <w:tcPr>
            <w:tcW w:w="630" w:type="dxa"/>
            <w:vAlign w:val="center"/>
          </w:tcPr>
          <w:p>
            <w:pPr>
              <w:rPr>
                <w:rFonts w:ascii="宋体" w:hAnsi="宋体" w:cs="宋体"/>
                <w:color w:val="000000"/>
                <w:sz w:val="18"/>
                <w:szCs w:val="18"/>
              </w:rPr>
            </w:pPr>
          </w:p>
        </w:tc>
        <w:tc>
          <w:tcPr>
            <w:tcW w:w="587" w:type="dxa"/>
            <w:vAlign w:val="center"/>
          </w:tcPr>
          <w:p>
            <w:pPr>
              <w:pStyle w:val="232"/>
              <w:numPr>
                <w:ilvl w:val="0"/>
                <w:numId w:val="36"/>
              </w:numPr>
              <w:snapToGrid w:val="0"/>
              <w:ind w:firstLineChars="0"/>
              <w:jc w:val="center"/>
              <w:rPr>
                <w:color w:val="000000"/>
                <w:sz w:val="18"/>
                <w:szCs w:val="18"/>
              </w:rPr>
            </w:pPr>
          </w:p>
        </w:tc>
        <w:tc>
          <w:tcPr>
            <w:tcW w:w="3626" w:type="dxa"/>
            <w:vAlign w:val="center"/>
          </w:tcPr>
          <w:p>
            <w:pPr>
              <w:rPr>
                <w:rFonts w:ascii="宋体" w:hAnsi="宋体" w:cs="宋体"/>
                <w:color w:val="000000"/>
                <w:sz w:val="18"/>
                <w:szCs w:val="18"/>
              </w:rPr>
            </w:pPr>
            <w:r>
              <w:rPr>
                <w:rFonts w:hint="eastAsia" w:ascii="宋体" w:hAnsi="宋体" w:cs="宋体"/>
                <w:color w:val="000000"/>
                <w:sz w:val="18"/>
                <w:szCs w:val="18"/>
              </w:rPr>
              <w:t>仪器设备</w:t>
            </w:r>
            <w:r>
              <w:rPr>
                <w:rFonts w:hint="eastAsia" w:ascii="宋体" w:hAnsi="宋体" w:cs="宋体"/>
                <w:color w:val="000000"/>
                <w:sz w:val="18"/>
                <w:szCs w:val="18"/>
                <w:lang w:val="en-US" w:eastAsia="zh-CN"/>
              </w:rPr>
              <w:t>项目</w:t>
            </w:r>
            <w:r>
              <w:rPr>
                <w:rFonts w:hint="eastAsia" w:ascii="宋体" w:hAnsi="宋体" w:cs="宋体"/>
                <w:color w:val="000000"/>
                <w:sz w:val="18"/>
                <w:szCs w:val="18"/>
              </w:rPr>
              <w:t>合格。</w:t>
            </w:r>
          </w:p>
        </w:tc>
        <w:tc>
          <w:tcPr>
            <w:tcW w:w="616" w:type="dxa"/>
            <w:vAlign w:val="center"/>
          </w:tcPr>
          <w:p>
            <w:pPr>
              <w:pStyle w:val="232"/>
              <w:snapToGrid w:val="0"/>
              <w:ind w:firstLine="0" w:firstLineChars="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04" w:type="dxa"/>
            <w:gridSpan w:val="6"/>
            <w:vAlign w:val="center"/>
          </w:tcPr>
          <w:p>
            <w:pPr>
              <w:widowControl/>
              <w:spacing w:line="240" w:lineRule="exact"/>
              <w:jc w:val="left"/>
              <w:rPr>
                <w:rFonts w:ascii="宋体" w:hAnsi="宋体" w:cs="宋体"/>
                <w:color w:val="000000"/>
                <w:kern w:val="0"/>
                <w:sz w:val="18"/>
                <w:szCs w:val="18"/>
              </w:rPr>
            </w:pPr>
            <w:r>
              <w:rPr>
                <w:rFonts w:hint="eastAsia" w:ascii="黑体" w:hAnsi="黑体" w:eastAsia="黑体" w:cs="宋体"/>
                <w:color w:val="000000"/>
                <w:kern w:val="0"/>
                <w:sz w:val="18"/>
                <w:szCs w:val="18"/>
              </w:rPr>
              <w:t>注</w:t>
            </w:r>
            <w:r>
              <w:rPr>
                <w:rFonts w:hint="eastAsia" w:ascii="宋体" w:hAnsi="宋体" w:cs="宋体"/>
                <w:color w:val="000000"/>
                <w:kern w:val="0"/>
                <w:sz w:val="18"/>
                <w:szCs w:val="18"/>
              </w:rPr>
              <w:t>：判定栏中填“√”为合格，“×”为不合格，“—”为不适用于送检车辆。</w:t>
            </w:r>
          </w:p>
        </w:tc>
        <w:bookmarkStart w:id="317" w:name="_Toc11323708"/>
      </w:tr>
      <w:bookmarkEnd w:id="317"/>
    </w:tbl>
    <w:p>
      <w:pPr>
        <w:pStyle w:val="250"/>
        <w:rPr>
          <w:rFonts w:hint="eastAsia"/>
        </w:rPr>
      </w:pPr>
      <w:r>
        <w:br w:type="page"/>
      </w:r>
      <w:bookmarkStart w:id="318" w:name="_Toc534271026"/>
      <w:bookmarkStart w:id="319" w:name="_Toc32135"/>
      <w:bookmarkStart w:id="320" w:name="_Toc2332311"/>
      <w:bookmarkStart w:id="321" w:name="_Toc12131"/>
      <w:bookmarkStart w:id="322" w:name="_Toc9107"/>
      <w:bookmarkStart w:id="323" w:name="_Toc1433"/>
      <w:bookmarkStart w:id="324" w:name="_Toc527550812"/>
      <w:bookmarkStart w:id="325" w:name="_Toc527550910"/>
      <w:r>
        <w:br w:type="textWrapping"/>
      </w:r>
      <w:r>
        <w:rPr>
          <w:rFonts w:hint="eastAsia"/>
        </w:rPr>
        <w:t>（资料性附录）</w:t>
      </w:r>
      <w:r>
        <w:br w:type="textWrapping"/>
      </w:r>
      <w:r>
        <w:t>二手</w:t>
      </w:r>
      <w:r>
        <w:rPr>
          <w:rFonts w:hint="eastAsia"/>
        </w:rPr>
        <w:t>乘用车</w:t>
      </w:r>
      <w:r>
        <w:t>出口</w:t>
      </w:r>
      <w:r>
        <w:rPr>
          <w:rFonts w:hint="eastAsia"/>
          <w:lang w:val="en-US" w:eastAsia="zh-CN"/>
        </w:rPr>
        <w:t>质量</w:t>
      </w:r>
      <w:r>
        <w:rPr>
          <w:rFonts w:hint="eastAsia"/>
        </w:rPr>
        <w:t>报告</w:t>
      </w:r>
      <w:r>
        <w:t>（式样）</w:t>
      </w:r>
      <w:bookmarkEnd w:id="318"/>
      <w:bookmarkEnd w:id="319"/>
      <w:bookmarkEnd w:id="320"/>
      <w:bookmarkEnd w:id="321"/>
      <w:bookmarkEnd w:id="322"/>
      <w:bookmarkEnd w:id="323"/>
    </w:p>
    <w:p>
      <w:pPr>
        <w:pStyle w:val="244"/>
        <w:spacing w:before="312" w:beforeLines="100" w:after="312" w:afterLines="100"/>
        <w:ind w:firstLine="0" w:firstLineChars="0"/>
        <w:rPr>
          <w:rFonts w:ascii="黑体" w:hAnsi="黑体" w:eastAsia="黑体" w:cs="黑体"/>
        </w:rPr>
      </w:pPr>
      <w:r>
        <w:rPr>
          <w:rFonts w:hint="eastAsia" w:ascii="黑体" w:hAnsi="黑体" w:eastAsia="黑体" w:cs="黑体"/>
        </w:rPr>
        <w:t>B.1　</w:t>
      </w:r>
      <w:r>
        <w:rPr>
          <w:rFonts w:cs="Times New Roman"/>
        </w:rPr>
        <w:t>二手乘用车出口</w:t>
      </w:r>
      <w:r>
        <w:rPr>
          <w:rFonts w:hint="eastAsia" w:cs="Times New Roman"/>
          <w:lang w:val="en-US" w:eastAsia="zh-CN"/>
        </w:rPr>
        <w:t>质量</w:t>
      </w:r>
      <w:r>
        <w:rPr>
          <w:rFonts w:cs="Times New Roman"/>
        </w:rPr>
        <w:t>报告（式样）见表B.1。</w:t>
      </w:r>
    </w:p>
    <w:p>
      <w:pPr>
        <w:pStyle w:val="253"/>
        <w:spacing w:before="156" w:after="156"/>
      </w:pPr>
      <w:r>
        <w:rPr>
          <w:rFonts w:hint="eastAsia"/>
        </w:rPr>
        <w:t xml:space="preserve">表B.1  </w:t>
      </w:r>
      <w:r>
        <w:t>二手</w:t>
      </w:r>
      <w:r>
        <w:rPr>
          <w:rFonts w:hint="eastAsia"/>
        </w:rPr>
        <w:t>乘用车</w:t>
      </w:r>
      <w:r>
        <w:t>出口</w:t>
      </w:r>
      <w:r>
        <w:rPr>
          <w:rFonts w:hint="eastAsia"/>
          <w:lang w:val="en-US" w:eastAsia="zh-CN"/>
        </w:rPr>
        <w:t>质量</w:t>
      </w:r>
      <w:r>
        <w:rPr>
          <w:rFonts w:hint="eastAsia"/>
        </w:rPr>
        <w:t>报告（式样）</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111"/>
        <w:gridCol w:w="1483"/>
        <w:gridCol w:w="465"/>
        <w:gridCol w:w="1131"/>
        <w:gridCol w:w="574"/>
        <w:gridCol w:w="1020"/>
        <w:gridCol w:w="758"/>
        <w:gridCol w:w="837"/>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vAlign w:val="center"/>
          </w:tcPr>
          <w:p>
            <w:pPr>
              <w:spacing w:line="0" w:lineRule="atLeast"/>
              <w:rPr>
                <w:b/>
                <w:sz w:val="18"/>
                <w:szCs w:val="18"/>
              </w:rPr>
            </w:pPr>
            <w:r>
              <w:rPr>
                <w:b/>
                <w:sz w:val="18"/>
                <w:szCs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pct"/>
            <w:vAlign w:val="center"/>
          </w:tcPr>
          <w:p>
            <w:pPr>
              <w:jc w:val="center"/>
              <w:rPr>
                <w:rFonts w:ascii="宋体" w:hAnsi="宋体"/>
                <w:sz w:val="18"/>
                <w:szCs w:val="18"/>
              </w:rPr>
            </w:pPr>
            <w:r>
              <w:rPr>
                <w:rFonts w:ascii="宋体" w:hAnsi="宋体"/>
                <w:sz w:val="18"/>
                <w:szCs w:val="18"/>
              </w:rPr>
              <w:t>报告编号</w:t>
            </w:r>
          </w:p>
        </w:tc>
        <w:tc>
          <w:tcPr>
            <w:tcW w:w="833" w:type="pct"/>
            <w:gridSpan w:val="2"/>
            <w:vAlign w:val="center"/>
          </w:tcPr>
          <w:p>
            <w:pPr>
              <w:jc w:val="center"/>
              <w:rPr>
                <w:rFonts w:ascii="宋体" w:hAnsi="宋体"/>
                <w:sz w:val="18"/>
                <w:szCs w:val="18"/>
              </w:rPr>
            </w:pPr>
          </w:p>
        </w:tc>
        <w:tc>
          <w:tcPr>
            <w:tcW w:w="833" w:type="pct"/>
            <w:gridSpan w:val="2"/>
            <w:vAlign w:val="center"/>
          </w:tcPr>
          <w:p>
            <w:pPr>
              <w:jc w:val="center"/>
              <w:rPr>
                <w:rFonts w:ascii="宋体" w:hAnsi="宋体"/>
                <w:sz w:val="18"/>
                <w:szCs w:val="18"/>
              </w:rPr>
            </w:pPr>
            <w:r>
              <w:rPr>
                <w:rFonts w:ascii="宋体" w:hAnsi="宋体"/>
                <w:sz w:val="18"/>
                <w:szCs w:val="18"/>
              </w:rPr>
              <w:t>机构名称</w:t>
            </w:r>
          </w:p>
        </w:tc>
        <w:tc>
          <w:tcPr>
            <w:tcW w:w="833" w:type="pct"/>
            <w:gridSpan w:val="2"/>
            <w:vAlign w:val="center"/>
          </w:tcPr>
          <w:p>
            <w:pPr>
              <w:jc w:val="center"/>
              <w:rPr>
                <w:rFonts w:ascii="宋体" w:hAnsi="宋体"/>
                <w:sz w:val="18"/>
                <w:szCs w:val="18"/>
              </w:rPr>
            </w:pPr>
          </w:p>
        </w:tc>
        <w:tc>
          <w:tcPr>
            <w:tcW w:w="833" w:type="pct"/>
            <w:gridSpan w:val="2"/>
            <w:vAlign w:val="center"/>
          </w:tcPr>
          <w:p>
            <w:pPr>
              <w:jc w:val="center"/>
              <w:rPr>
                <w:rFonts w:ascii="宋体" w:hAnsi="宋体"/>
                <w:sz w:val="18"/>
                <w:szCs w:val="18"/>
              </w:rPr>
            </w:pPr>
            <w:r>
              <w:rPr>
                <w:rFonts w:hint="eastAsia" w:ascii="宋体" w:hAnsi="宋体"/>
                <w:sz w:val="18"/>
                <w:szCs w:val="18"/>
              </w:rPr>
              <w:t>委托人</w:t>
            </w:r>
          </w:p>
        </w:tc>
        <w:tc>
          <w:tcPr>
            <w:tcW w:w="833" w:type="pct"/>
            <w:vAlign w:val="center"/>
          </w:tcPr>
          <w:p>
            <w:pPr>
              <w:spacing w:line="0" w:lineRule="atLeast"/>
              <w:jc w:val="distribut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pct"/>
            <w:vAlign w:val="center"/>
          </w:tcPr>
          <w:p>
            <w:pPr>
              <w:jc w:val="center"/>
              <w:rPr>
                <w:rFonts w:ascii="宋体" w:hAnsi="宋体"/>
                <w:sz w:val="18"/>
                <w:szCs w:val="18"/>
              </w:rPr>
            </w:pPr>
            <w:r>
              <w:rPr>
                <w:rFonts w:ascii="宋体" w:hAnsi="宋体"/>
                <w:sz w:val="18"/>
                <w:szCs w:val="18"/>
              </w:rPr>
              <w:t>号牌号码</w:t>
            </w:r>
          </w:p>
        </w:tc>
        <w:tc>
          <w:tcPr>
            <w:tcW w:w="833" w:type="pct"/>
            <w:gridSpan w:val="2"/>
            <w:vAlign w:val="center"/>
          </w:tcPr>
          <w:p>
            <w:pPr>
              <w:jc w:val="center"/>
              <w:rPr>
                <w:rFonts w:ascii="宋体" w:hAnsi="宋体"/>
                <w:sz w:val="18"/>
                <w:szCs w:val="18"/>
              </w:rPr>
            </w:pPr>
          </w:p>
        </w:tc>
        <w:tc>
          <w:tcPr>
            <w:tcW w:w="833" w:type="pct"/>
            <w:gridSpan w:val="2"/>
            <w:vAlign w:val="center"/>
          </w:tcPr>
          <w:p>
            <w:pPr>
              <w:jc w:val="center"/>
              <w:rPr>
                <w:rFonts w:ascii="宋体" w:hAnsi="宋体"/>
                <w:sz w:val="18"/>
                <w:szCs w:val="18"/>
              </w:rPr>
            </w:pPr>
            <w:r>
              <w:rPr>
                <w:rFonts w:hint="eastAsia" w:ascii="宋体" w:hAnsi="宋体"/>
                <w:sz w:val="18"/>
                <w:szCs w:val="18"/>
              </w:rPr>
              <w:t>生产厂家</w:t>
            </w:r>
          </w:p>
        </w:tc>
        <w:tc>
          <w:tcPr>
            <w:tcW w:w="833" w:type="pct"/>
            <w:gridSpan w:val="2"/>
            <w:vAlign w:val="center"/>
          </w:tcPr>
          <w:p>
            <w:pPr>
              <w:jc w:val="center"/>
              <w:rPr>
                <w:rFonts w:ascii="宋体" w:hAnsi="宋体"/>
                <w:sz w:val="18"/>
                <w:szCs w:val="18"/>
              </w:rPr>
            </w:pPr>
          </w:p>
        </w:tc>
        <w:tc>
          <w:tcPr>
            <w:tcW w:w="833" w:type="pct"/>
            <w:gridSpan w:val="2"/>
            <w:vAlign w:val="center"/>
          </w:tcPr>
          <w:p>
            <w:pPr>
              <w:jc w:val="center"/>
              <w:rPr>
                <w:rFonts w:ascii="宋体" w:hAnsi="宋体"/>
                <w:sz w:val="18"/>
                <w:szCs w:val="18"/>
              </w:rPr>
            </w:pPr>
            <w:r>
              <w:rPr>
                <w:rFonts w:hint="eastAsia" w:ascii="宋体" w:hAnsi="宋体"/>
                <w:sz w:val="18"/>
                <w:szCs w:val="18"/>
              </w:rPr>
              <w:t>动力类型</w:t>
            </w:r>
          </w:p>
        </w:tc>
        <w:tc>
          <w:tcPr>
            <w:tcW w:w="833" w:type="pct"/>
            <w:vAlign w:val="center"/>
          </w:tcPr>
          <w:p>
            <w:pPr>
              <w:spacing w:line="0" w:lineRule="atLeast"/>
              <w:jc w:val="distribut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pct"/>
            <w:vAlign w:val="center"/>
          </w:tcPr>
          <w:p>
            <w:pPr>
              <w:jc w:val="center"/>
              <w:rPr>
                <w:rFonts w:ascii="宋体" w:hAnsi="宋体"/>
                <w:sz w:val="18"/>
                <w:szCs w:val="18"/>
              </w:rPr>
            </w:pPr>
            <w:r>
              <w:rPr>
                <w:rFonts w:ascii="宋体" w:hAnsi="宋体"/>
                <w:sz w:val="18"/>
                <w:szCs w:val="18"/>
              </w:rPr>
              <w:t>车辆类型</w:t>
            </w:r>
          </w:p>
        </w:tc>
        <w:tc>
          <w:tcPr>
            <w:tcW w:w="833" w:type="pct"/>
            <w:gridSpan w:val="2"/>
            <w:vAlign w:val="center"/>
          </w:tcPr>
          <w:p>
            <w:pPr>
              <w:jc w:val="center"/>
              <w:rPr>
                <w:rFonts w:ascii="宋体" w:hAnsi="宋体"/>
                <w:sz w:val="18"/>
                <w:szCs w:val="18"/>
              </w:rPr>
            </w:pPr>
          </w:p>
        </w:tc>
        <w:tc>
          <w:tcPr>
            <w:tcW w:w="833" w:type="pct"/>
            <w:gridSpan w:val="2"/>
            <w:vAlign w:val="center"/>
          </w:tcPr>
          <w:p>
            <w:pPr>
              <w:jc w:val="center"/>
              <w:rPr>
                <w:rFonts w:ascii="宋体" w:hAnsi="宋体"/>
                <w:sz w:val="18"/>
                <w:szCs w:val="18"/>
              </w:rPr>
            </w:pPr>
            <w:r>
              <w:rPr>
                <w:rFonts w:ascii="宋体" w:hAnsi="宋体"/>
                <w:sz w:val="18"/>
                <w:szCs w:val="18"/>
              </w:rPr>
              <w:t>品牌</w:t>
            </w:r>
          </w:p>
        </w:tc>
        <w:tc>
          <w:tcPr>
            <w:tcW w:w="833" w:type="pct"/>
            <w:gridSpan w:val="2"/>
            <w:vAlign w:val="center"/>
          </w:tcPr>
          <w:p>
            <w:pPr>
              <w:jc w:val="center"/>
              <w:rPr>
                <w:rFonts w:ascii="宋体" w:hAnsi="宋体"/>
                <w:sz w:val="18"/>
                <w:szCs w:val="18"/>
              </w:rPr>
            </w:pPr>
          </w:p>
        </w:tc>
        <w:tc>
          <w:tcPr>
            <w:tcW w:w="833" w:type="pct"/>
            <w:gridSpan w:val="2"/>
            <w:vAlign w:val="center"/>
          </w:tcPr>
          <w:p>
            <w:pPr>
              <w:jc w:val="center"/>
              <w:rPr>
                <w:rFonts w:ascii="宋体" w:hAnsi="宋体"/>
                <w:sz w:val="18"/>
                <w:szCs w:val="18"/>
              </w:rPr>
            </w:pPr>
            <w:r>
              <w:rPr>
                <w:rFonts w:ascii="宋体" w:hAnsi="宋体"/>
                <w:sz w:val="18"/>
                <w:szCs w:val="18"/>
              </w:rPr>
              <w:t>型号</w:t>
            </w:r>
          </w:p>
        </w:tc>
        <w:tc>
          <w:tcPr>
            <w:tcW w:w="833" w:type="pct"/>
            <w:vAlign w:val="center"/>
          </w:tcPr>
          <w:p>
            <w:pPr>
              <w:spacing w:line="0" w:lineRule="atLeast"/>
              <w:jc w:val="distribut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pct"/>
            <w:vAlign w:val="center"/>
          </w:tcPr>
          <w:p>
            <w:pPr>
              <w:jc w:val="center"/>
              <w:rPr>
                <w:rFonts w:ascii="宋体" w:hAnsi="宋体"/>
                <w:sz w:val="18"/>
                <w:szCs w:val="18"/>
              </w:rPr>
            </w:pPr>
            <w:r>
              <w:rPr>
                <w:rFonts w:hint="eastAsia" w:ascii="宋体" w:hAnsi="宋体"/>
                <w:sz w:val="18"/>
                <w:szCs w:val="18"/>
              </w:rPr>
              <w:t>出厂日期</w:t>
            </w:r>
          </w:p>
        </w:tc>
        <w:tc>
          <w:tcPr>
            <w:tcW w:w="833" w:type="pct"/>
            <w:gridSpan w:val="2"/>
            <w:vAlign w:val="center"/>
          </w:tcPr>
          <w:p>
            <w:pPr>
              <w:jc w:val="center"/>
              <w:rPr>
                <w:rFonts w:ascii="宋体" w:hAnsi="宋体"/>
                <w:sz w:val="18"/>
                <w:szCs w:val="18"/>
              </w:rPr>
            </w:pPr>
          </w:p>
        </w:tc>
        <w:tc>
          <w:tcPr>
            <w:tcW w:w="833" w:type="pct"/>
            <w:gridSpan w:val="2"/>
            <w:vAlign w:val="center"/>
          </w:tcPr>
          <w:p>
            <w:pPr>
              <w:jc w:val="center"/>
              <w:rPr>
                <w:rFonts w:ascii="宋体" w:hAnsi="宋体"/>
                <w:sz w:val="18"/>
                <w:szCs w:val="18"/>
              </w:rPr>
            </w:pPr>
            <w:r>
              <w:rPr>
                <w:rFonts w:hint="eastAsia" w:ascii="宋体" w:hAnsi="宋体"/>
                <w:sz w:val="18"/>
                <w:szCs w:val="18"/>
              </w:rPr>
              <w:t>表征</w:t>
            </w:r>
            <w:r>
              <w:rPr>
                <w:rFonts w:ascii="宋体" w:hAnsi="宋体"/>
                <w:sz w:val="18"/>
                <w:szCs w:val="18"/>
              </w:rPr>
              <w:t>行驶里程</w:t>
            </w:r>
          </w:p>
        </w:tc>
        <w:tc>
          <w:tcPr>
            <w:tcW w:w="833" w:type="pct"/>
            <w:gridSpan w:val="2"/>
            <w:vAlign w:val="center"/>
          </w:tcPr>
          <w:p>
            <w:pPr>
              <w:jc w:val="center"/>
              <w:rPr>
                <w:rFonts w:ascii="宋体" w:hAnsi="宋体"/>
                <w:sz w:val="18"/>
                <w:szCs w:val="18"/>
              </w:rPr>
            </w:pPr>
          </w:p>
        </w:tc>
        <w:tc>
          <w:tcPr>
            <w:tcW w:w="833" w:type="pct"/>
            <w:gridSpan w:val="2"/>
            <w:vAlign w:val="center"/>
          </w:tcPr>
          <w:p>
            <w:pPr>
              <w:spacing w:line="240" w:lineRule="auto"/>
              <w:jc w:val="center"/>
              <w:rPr>
                <w:rFonts w:ascii="宋体" w:hAnsi="宋体"/>
                <w:sz w:val="18"/>
                <w:szCs w:val="18"/>
              </w:rPr>
            </w:pPr>
            <w:r>
              <w:rPr>
                <w:rFonts w:ascii="宋体" w:hAnsi="宋体"/>
                <w:sz w:val="18"/>
                <w:szCs w:val="18"/>
              </w:rPr>
              <w:t>发动机号</w:t>
            </w:r>
          </w:p>
          <w:p>
            <w:pPr>
              <w:spacing w:line="240" w:lineRule="auto"/>
              <w:jc w:val="center"/>
              <w:rPr>
                <w:rFonts w:ascii="宋体" w:hAnsi="宋体"/>
                <w:sz w:val="18"/>
                <w:szCs w:val="18"/>
              </w:rPr>
            </w:pPr>
            <w:r>
              <w:rPr>
                <w:rFonts w:hint="eastAsia" w:ascii="宋体" w:hAnsi="宋体"/>
                <w:sz w:val="18"/>
                <w:szCs w:val="18"/>
              </w:rPr>
              <w:t>(驱动电机号)</w:t>
            </w:r>
          </w:p>
        </w:tc>
        <w:tc>
          <w:tcPr>
            <w:tcW w:w="833" w:type="pct"/>
            <w:vAlign w:val="center"/>
          </w:tcPr>
          <w:p>
            <w:pPr>
              <w:spacing w:line="0" w:lineRule="atLeast"/>
              <w:jc w:val="distribut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3" w:type="pct"/>
            <w:vAlign w:val="center"/>
          </w:tcPr>
          <w:p>
            <w:pPr>
              <w:jc w:val="center"/>
              <w:rPr>
                <w:rFonts w:ascii="宋体" w:hAnsi="宋体"/>
                <w:sz w:val="18"/>
                <w:szCs w:val="18"/>
              </w:rPr>
            </w:pPr>
            <w:r>
              <w:rPr>
                <w:rFonts w:ascii="宋体" w:hAnsi="宋体"/>
                <w:sz w:val="18"/>
                <w:szCs w:val="18"/>
              </w:rPr>
              <w:t>车辆识别代号</w:t>
            </w:r>
          </w:p>
        </w:tc>
        <w:tc>
          <w:tcPr>
            <w:tcW w:w="833" w:type="pct"/>
            <w:gridSpan w:val="2"/>
            <w:vAlign w:val="center"/>
          </w:tcPr>
          <w:p>
            <w:pPr>
              <w:jc w:val="center"/>
              <w:rPr>
                <w:rFonts w:ascii="宋体" w:hAnsi="宋体"/>
                <w:sz w:val="18"/>
                <w:szCs w:val="18"/>
              </w:rPr>
            </w:pPr>
          </w:p>
        </w:tc>
        <w:tc>
          <w:tcPr>
            <w:tcW w:w="833" w:type="pct"/>
            <w:gridSpan w:val="2"/>
            <w:vAlign w:val="center"/>
          </w:tcPr>
          <w:p>
            <w:pPr>
              <w:jc w:val="center"/>
              <w:rPr>
                <w:rFonts w:ascii="宋体" w:hAnsi="宋体"/>
                <w:sz w:val="18"/>
                <w:szCs w:val="18"/>
              </w:rPr>
            </w:pPr>
            <w:r>
              <w:rPr>
                <w:rFonts w:hint="eastAsia" w:ascii="宋体" w:hAnsi="宋体"/>
                <w:sz w:val="18"/>
                <w:szCs w:val="18"/>
                <w:lang w:val="en-US" w:eastAsia="zh-CN"/>
              </w:rPr>
              <w:t>作业</w:t>
            </w:r>
            <w:r>
              <w:rPr>
                <w:rFonts w:ascii="宋体" w:hAnsi="宋体"/>
                <w:sz w:val="18"/>
                <w:szCs w:val="18"/>
              </w:rPr>
              <w:t>日期</w:t>
            </w:r>
          </w:p>
        </w:tc>
        <w:tc>
          <w:tcPr>
            <w:tcW w:w="833" w:type="pct"/>
            <w:gridSpan w:val="2"/>
            <w:vAlign w:val="center"/>
          </w:tcPr>
          <w:p>
            <w:pPr>
              <w:jc w:val="center"/>
              <w:rPr>
                <w:rFonts w:ascii="宋体" w:hAnsi="宋体"/>
                <w:sz w:val="18"/>
                <w:szCs w:val="18"/>
              </w:rPr>
            </w:pPr>
          </w:p>
        </w:tc>
        <w:tc>
          <w:tcPr>
            <w:tcW w:w="833" w:type="pct"/>
            <w:gridSpan w:val="2"/>
            <w:vAlign w:val="center"/>
          </w:tcPr>
          <w:p>
            <w:pPr>
              <w:jc w:val="center"/>
              <w:rPr>
                <w:rFonts w:ascii="宋体" w:hAnsi="宋体"/>
                <w:sz w:val="18"/>
                <w:szCs w:val="18"/>
              </w:rPr>
            </w:pPr>
            <w:r>
              <w:rPr>
                <w:rFonts w:ascii="宋体" w:hAnsi="宋体"/>
                <w:sz w:val="18"/>
                <w:szCs w:val="18"/>
              </w:rPr>
              <w:t>有效期至</w:t>
            </w:r>
          </w:p>
        </w:tc>
        <w:tc>
          <w:tcPr>
            <w:tcW w:w="833" w:type="pct"/>
            <w:vAlign w:val="center"/>
          </w:tcPr>
          <w:p>
            <w:pPr>
              <w:spacing w:line="0" w:lineRule="atLeast"/>
              <w:jc w:val="distribute"/>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vAlign w:val="center"/>
          </w:tcPr>
          <w:p>
            <w:pPr>
              <w:spacing w:line="0" w:lineRule="atLeast"/>
              <w:jc w:val="left"/>
              <w:rPr>
                <w:b/>
                <w:sz w:val="18"/>
                <w:szCs w:val="18"/>
              </w:rPr>
            </w:pPr>
            <w:r>
              <w:rPr>
                <w:rFonts w:hint="eastAsia"/>
                <w:b/>
                <w:sz w:val="18"/>
                <w:szCs w:val="18"/>
              </w:rPr>
              <w:t>二</w:t>
            </w:r>
            <w:r>
              <w:rPr>
                <w:b/>
                <w:sz w:val="18"/>
                <w:szCs w:val="18"/>
              </w:rPr>
              <w:t>、人工</w:t>
            </w:r>
            <w:r>
              <w:rPr>
                <w:rFonts w:hint="eastAsia"/>
                <w:b/>
                <w:sz w:val="18"/>
                <w:szCs w:val="1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pct"/>
            <w:gridSpan w:val="2"/>
            <w:vAlign w:val="center"/>
          </w:tcPr>
          <w:p>
            <w:pPr>
              <w:jc w:val="center"/>
              <w:rPr>
                <w:rFonts w:ascii="宋体" w:hAnsi="宋体"/>
                <w:sz w:val="18"/>
                <w:szCs w:val="18"/>
              </w:rPr>
            </w:pPr>
            <w:r>
              <w:rPr>
                <w:rFonts w:ascii="宋体" w:hAnsi="宋体"/>
                <w:sz w:val="18"/>
                <w:szCs w:val="18"/>
              </w:rPr>
              <w:t>序号</w:t>
            </w:r>
          </w:p>
        </w:tc>
        <w:tc>
          <w:tcPr>
            <w:tcW w:w="1017" w:type="pct"/>
            <w:gridSpan w:val="2"/>
            <w:vAlign w:val="center"/>
          </w:tcPr>
          <w:p>
            <w:pPr>
              <w:jc w:val="center"/>
              <w:rPr>
                <w:rFonts w:ascii="宋体" w:hAnsi="宋体"/>
                <w:sz w:val="18"/>
                <w:szCs w:val="18"/>
              </w:rPr>
            </w:pPr>
            <w:r>
              <w:rPr>
                <w:rFonts w:ascii="宋体" w:hAnsi="宋体"/>
                <w:sz w:val="18"/>
                <w:szCs w:val="18"/>
              </w:rPr>
              <w:t>项目</w:t>
            </w:r>
          </w:p>
        </w:tc>
        <w:tc>
          <w:tcPr>
            <w:tcW w:w="891" w:type="pct"/>
            <w:gridSpan w:val="2"/>
            <w:vAlign w:val="center"/>
          </w:tcPr>
          <w:p>
            <w:pPr>
              <w:jc w:val="center"/>
              <w:rPr>
                <w:rFonts w:ascii="宋体" w:hAnsi="宋体"/>
                <w:sz w:val="18"/>
                <w:szCs w:val="18"/>
              </w:rPr>
            </w:pPr>
            <w:r>
              <w:rPr>
                <w:rFonts w:ascii="宋体" w:hAnsi="宋体"/>
                <w:sz w:val="18"/>
                <w:szCs w:val="18"/>
              </w:rPr>
              <w:t>结果判定</w:t>
            </w:r>
          </w:p>
        </w:tc>
        <w:tc>
          <w:tcPr>
            <w:tcW w:w="2198" w:type="pct"/>
            <w:gridSpan w:val="4"/>
            <w:vAlign w:val="center"/>
          </w:tcPr>
          <w:p>
            <w:pPr>
              <w:jc w:val="center"/>
              <w:rPr>
                <w:rFonts w:ascii="宋体" w:hAnsi="宋体"/>
                <w:sz w:val="18"/>
                <w:szCs w:val="18"/>
              </w:rPr>
            </w:pPr>
            <w:r>
              <w:rPr>
                <w:rFonts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pct"/>
            <w:gridSpan w:val="2"/>
            <w:vAlign w:val="center"/>
          </w:tcPr>
          <w:p>
            <w:pPr>
              <w:jc w:val="center"/>
              <w:rPr>
                <w:rFonts w:ascii="宋体" w:hAnsi="宋体"/>
                <w:sz w:val="18"/>
                <w:szCs w:val="18"/>
              </w:rPr>
            </w:pPr>
            <w:r>
              <w:rPr>
                <w:rFonts w:ascii="宋体" w:hAnsi="宋体"/>
                <w:sz w:val="18"/>
                <w:szCs w:val="18"/>
              </w:rPr>
              <w:t>1</w:t>
            </w:r>
          </w:p>
        </w:tc>
        <w:tc>
          <w:tcPr>
            <w:tcW w:w="1017" w:type="pct"/>
            <w:gridSpan w:val="2"/>
            <w:vAlign w:val="center"/>
          </w:tcPr>
          <w:p>
            <w:pPr>
              <w:jc w:val="center"/>
              <w:rPr>
                <w:rFonts w:ascii="宋体" w:hAnsi="宋体"/>
                <w:sz w:val="18"/>
                <w:szCs w:val="18"/>
              </w:rPr>
            </w:pPr>
            <w:r>
              <w:rPr>
                <w:rFonts w:ascii="宋体" w:hAnsi="宋体"/>
                <w:sz w:val="18"/>
                <w:szCs w:val="18"/>
              </w:rPr>
              <w:t>车辆核查</w:t>
            </w:r>
          </w:p>
        </w:tc>
        <w:tc>
          <w:tcPr>
            <w:tcW w:w="891" w:type="pct"/>
            <w:gridSpan w:val="2"/>
            <w:vAlign w:val="center"/>
          </w:tcPr>
          <w:p>
            <w:pPr>
              <w:jc w:val="center"/>
              <w:rPr>
                <w:rFonts w:ascii="宋体" w:hAnsi="宋体"/>
                <w:sz w:val="18"/>
                <w:szCs w:val="18"/>
              </w:rPr>
            </w:pPr>
          </w:p>
        </w:tc>
        <w:tc>
          <w:tcPr>
            <w:tcW w:w="2198" w:type="pct"/>
            <w:gridSpan w:val="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pct"/>
            <w:gridSpan w:val="2"/>
            <w:vAlign w:val="center"/>
          </w:tcPr>
          <w:p>
            <w:pPr>
              <w:jc w:val="center"/>
              <w:rPr>
                <w:rFonts w:ascii="宋体" w:hAnsi="宋体"/>
                <w:sz w:val="18"/>
                <w:szCs w:val="18"/>
              </w:rPr>
            </w:pPr>
            <w:r>
              <w:rPr>
                <w:rFonts w:ascii="宋体" w:hAnsi="宋体"/>
                <w:sz w:val="18"/>
                <w:szCs w:val="18"/>
              </w:rPr>
              <w:t>2</w:t>
            </w:r>
          </w:p>
        </w:tc>
        <w:tc>
          <w:tcPr>
            <w:tcW w:w="1017" w:type="pct"/>
            <w:gridSpan w:val="2"/>
            <w:vAlign w:val="center"/>
          </w:tcPr>
          <w:p>
            <w:pPr>
              <w:jc w:val="center"/>
              <w:rPr>
                <w:rFonts w:ascii="宋体" w:hAnsi="宋体"/>
                <w:sz w:val="18"/>
                <w:szCs w:val="18"/>
              </w:rPr>
            </w:pPr>
            <w:r>
              <w:rPr>
                <w:rFonts w:ascii="宋体" w:hAnsi="宋体"/>
                <w:sz w:val="18"/>
                <w:szCs w:val="18"/>
              </w:rPr>
              <w:t>重大事故车判别</w:t>
            </w:r>
          </w:p>
        </w:tc>
        <w:tc>
          <w:tcPr>
            <w:tcW w:w="891" w:type="pct"/>
            <w:gridSpan w:val="2"/>
            <w:vAlign w:val="center"/>
          </w:tcPr>
          <w:p>
            <w:pPr>
              <w:jc w:val="center"/>
              <w:rPr>
                <w:rFonts w:ascii="宋体" w:hAnsi="宋体"/>
                <w:sz w:val="18"/>
                <w:szCs w:val="18"/>
              </w:rPr>
            </w:pPr>
          </w:p>
        </w:tc>
        <w:tc>
          <w:tcPr>
            <w:tcW w:w="2198" w:type="pct"/>
            <w:gridSpan w:val="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pct"/>
            <w:gridSpan w:val="2"/>
            <w:vAlign w:val="center"/>
          </w:tcPr>
          <w:p>
            <w:pPr>
              <w:jc w:val="center"/>
              <w:rPr>
                <w:rFonts w:ascii="宋体" w:hAnsi="宋体"/>
                <w:sz w:val="18"/>
                <w:szCs w:val="18"/>
              </w:rPr>
            </w:pPr>
            <w:r>
              <w:rPr>
                <w:rFonts w:ascii="宋体" w:hAnsi="宋体"/>
                <w:sz w:val="18"/>
                <w:szCs w:val="18"/>
              </w:rPr>
              <w:t>3</w:t>
            </w:r>
          </w:p>
        </w:tc>
        <w:tc>
          <w:tcPr>
            <w:tcW w:w="1017" w:type="pct"/>
            <w:gridSpan w:val="2"/>
            <w:vAlign w:val="center"/>
          </w:tcPr>
          <w:p>
            <w:pPr>
              <w:jc w:val="center"/>
              <w:rPr>
                <w:rFonts w:ascii="宋体" w:hAnsi="宋体"/>
                <w:sz w:val="18"/>
                <w:szCs w:val="18"/>
              </w:rPr>
            </w:pPr>
            <w:r>
              <w:rPr>
                <w:rFonts w:ascii="宋体" w:hAnsi="宋体"/>
                <w:sz w:val="18"/>
                <w:szCs w:val="18"/>
              </w:rPr>
              <w:t>车身外观</w:t>
            </w:r>
          </w:p>
        </w:tc>
        <w:tc>
          <w:tcPr>
            <w:tcW w:w="891" w:type="pct"/>
            <w:gridSpan w:val="2"/>
            <w:vAlign w:val="center"/>
          </w:tcPr>
          <w:p>
            <w:pPr>
              <w:jc w:val="center"/>
              <w:rPr>
                <w:rFonts w:ascii="宋体" w:hAnsi="宋体"/>
                <w:sz w:val="18"/>
                <w:szCs w:val="18"/>
              </w:rPr>
            </w:pPr>
          </w:p>
        </w:tc>
        <w:tc>
          <w:tcPr>
            <w:tcW w:w="2198" w:type="pct"/>
            <w:gridSpan w:val="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pct"/>
            <w:gridSpan w:val="2"/>
            <w:vAlign w:val="center"/>
          </w:tcPr>
          <w:p>
            <w:pPr>
              <w:jc w:val="center"/>
              <w:rPr>
                <w:rFonts w:ascii="宋体" w:hAnsi="宋体"/>
                <w:sz w:val="18"/>
                <w:szCs w:val="18"/>
              </w:rPr>
            </w:pPr>
            <w:r>
              <w:rPr>
                <w:rFonts w:ascii="宋体" w:hAnsi="宋体"/>
                <w:sz w:val="18"/>
                <w:szCs w:val="18"/>
              </w:rPr>
              <w:t>4</w:t>
            </w:r>
          </w:p>
        </w:tc>
        <w:tc>
          <w:tcPr>
            <w:tcW w:w="1017" w:type="pct"/>
            <w:gridSpan w:val="2"/>
            <w:vAlign w:val="center"/>
          </w:tcPr>
          <w:p>
            <w:pPr>
              <w:jc w:val="center"/>
              <w:rPr>
                <w:rFonts w:ascii="宋体" w:hAnsi="宋体"/>
                <w:sz w:val="18"/>
                <w:szCs w:val="18"/>
              </w:rPr>
            </w:pPr>
            <w:r>
              <w:rPr>
                <w:rFonts w:ascii="宋体" w:hAnsi="宋体"/>
                <w:sz w:val="18"/>
                <w:szCs w:val="18"/>
              </w:rPr>
              <w:t>发动机舱</w:t>
            </w:r>
          </w:p>
        </w:tc>
        <w:tc>
          <w:tcPr>
            <w:tcW w:w="891" w:type="pct"/>
            <w:gridSpan w:val="2"/>
            <w:vAlign w:val="center"/>
          </w:tcPr>
          <w:p>
            <w:pPr>
              <w:jc w:val="center"/>
              <w:rPr>
                <w:rFonts w:ascii="宋体" w:hAnsi="宋体"/>
                <w:sz w:val="18"/>
                <w:szCs w:val="18"/>
              </w:rPr>
            </w:pPr>
          </w:p>
        </w:tc>
        <w:tc>
          <w:tcPr>
            <w:tcW w:w="2198" w:type="pct"/>
            <w:gridSpan w:val="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pct"/>
            <w:gridSpan w:val="2"/>
            <w:vAlign w:val="center"/>
          </w:tcPr>
          <w:p>
            <w:pPr>
              <w:jc w:val="center"/>
              <w:rPr>
                <w:rFonts w:ascii="宋体" w:hAnsi="宋体"/>
                <w:sz w:val="18"/>
                <w:szCs w:val="18"/>
              </w:rPr>
            </w:pPr>
            <w:r>
              <w:rPr>
                <w:rFonts w:ascii="宋体" w:hAnsi="宋体"/>
                <w:sz w:val="18"/>
                <w:szCs w:val="18"/>
              </w:rPr>
              <w:t>5</w:t>
            </w:r>
          </w:p>
        </w:tc>
        <w:tc>
          <w:tcPr>
            <w:tcW w:w="1017" w:type="pct"/>
            <w:gridSpan w:val="2"/>
            <w:vAlign w:val="center"/>
          </w:tcPr>
          <w:p>
            <w:pPr>
              <w:jc w:val="center"/>
              <w:rPr>
                <w:rFonts w:ascii="宋体" w:hAnsi="宋体"/>
                <w:sz w:val="18"/>
                <w:szCs w:val="18"/>
              </w:rPr>
            </w:pPr>
            <w:r>
              <w:rPr>
                <w:rFonts w:ascii="宋体" w:hAnsi="宋体"/>
                <w:sz w:val="18"/>
                <w:szCs w:val="18"/>
              </w:rPr>
              <w:t>驾驶室</w:t>
            </w:r>
          </w:p>
        </w:tc>
        <w:tc>
          <w:tcPr>
            <w:tcW w:w="891" w:type="pct"/>
            <w:gridSpan w:val="2"/>
            <w:vAlign w:val="center"/>
          </w:tcPr>
          <w:p>
            <w:pPr>
              <w:jc w:val="center"/>
              <w:rPr>
                <w:rFonts w:ascii="宋体" w:hAnsi="宋体"/>
                <w:sz w:val="18"/>
                <w:szCs w:val="18"/>
              </w:rPr>
            </w:pPr>
          </w:p>
        </w:tc>
        <w:tc>
          <w:tcPr>
            <w:tcW w:w="2198" w:type="pct"/>
            <w:gridSpan w:val="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pct"/>
            <w:gridSpan w:val="2"/>
            <w:vAlign w:val="center"/>
          </w:tcPr>
          <w:p>
            <w:pPr>
              <w:jc w:val="center"/>
              <w:rPr>
                <w:rFonts w:ascii="宋体" w:hAnsi="宋体"/>
                <w:sz w:val="18"/>
                <w:szCs w:val="18"/>
              </w:rPr>
            </w:pPr>
            <w:r>
              <w:rPr>
                <w:rFonts w:ascii="宋体" w:hAnsi="宋体"/>
                <w:sz w:val="18"/>
                <w:szCs w:val="18"/>
              </w:rPr>
              <w:t>6</w:t>
            </w:r>
          </w:p>
        </w:tc>
        <w:tc>
          <w:tcPr>
            <w:tcW w:w="1017" w:type="pct"/>
            <w:gridSpan w:val="2"/>
            <w:vAlign w:val="center"/>
          </w:tcPr>
          <w:p>
            <w:pPr>
              <w:jc w:val="center"/>
              <w:rPr>
                <w:rFonts w:ascii="宋体" w:hAnsi="宋体"/>
                <w:sz w:val="18"/>
                <w:szCs w:val="18"/>
              </w:rPr>
            </w:pPr>
            <w:r>
              <w:rPr>
                <w:rFonts w:ascii="宋体" w:hAnsi="宋体"/>
                <w:sz w:val="18"/>
                <w:szCs w:val="18"/>
              </w:rPr>
              <w:t>底盘</w:t>
            </w:r>
          </w:p>
        </w:tc>
        <w:tc>
          <w:tcPr>
            <w:tcW w:w="891" w:type="pct"/>
            <w:gridSpan w:val="2"/>
            <w:vAlign w:val="center"/>
          </w:tcPr>
          <w:p>
            <w:pPr>
              <w:jc w:val="center"/>
              <w:rPr>
                <w:rFonts w:ascii="宋体" w:hAnsi="宋体"/>
                <w:sz w:val="18"/>
                <w:szCs w:val="18"/>
              </w:rPr>
            </w:pPr>
          </w:p>
        </w:tc>
        <w:tc>
          <w:tcPr>
            <w:tcW w:w="2198" w:type="pct"/>
            <w:gridSpan w:val="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pct"/>
            <w:gridSpan w:val="2"/>
            <w:vAlign w:val="center"/>
          </w:tcPr>
          <w:p>
            <w:pPr>
              <w:jc w:val="center"/>
              <w:rPr>
                <w:rFonts w:ascii="宋体" w:hAnsi="宋体"/>
                <w:sz w:val="18"/>
                <w:szCs w:val="18"/>
              </w:rPr>
            </w:pPr>
            <w:r>
              <w:rPr>
                <w:rFonts w:ascii="宋体" w:hAnsi="宋体"/>
                <w:sz w:val="18"/>
                <w:szCs w:val="18"/>
              </w:rPr>
              <w:t>7</w:t>
            </w:r>
          </w:p>
        </w:tc>
        <w:tc>
          <w:tcPr>
            <w:tcW w:w="1017" w:type="pct"/>
            <w:gridSpan w:val="2"/>
            <w:vAlign w:val="center"/>
          </w:tcPr>
          <w:p>
            <w:pPr>
              <w:jc w:val="center"/>
              <w:rPr>
                <w:rFonts w:ascii="宋体" w:hAnsi="宋体"/>
                <w:sz w:val="18"/>
                <w:szCs w:val="18"/>
              </w:rPr>
            </w:pPr>
            <w:r>
              <w:rPr>
                <w:rFonts w:ascii="宋体" w:hAnsi="宋体"/>
                <w:sz w:val="18"/>
                <w:szCs w:val="18"/>
              </w:rPr>
              <w:t>动态</w:t>
            </w:r>
            <w:r>
              <w:rPr>
                <w:rFonts w:hint="eastAsia" w:ascii="宋体" w:hAnsi="宋体"/>
                <w:sz w:val="18"/>
                <w:szCs w:val="18"/>
                <w:lang w:val="en-US" w:eastAsia="zh-CN"/>
              </w:rPr>
              <w:t>行驶</w:t>
            </w:r>
          </w:p>
        </w:tc>
        <w:tc>
          <w:tcPr>
            <w:tcW w:w="891" w:type="pct"/>
            <w:gridSpan w:val="2"/>
            <w:vAlign w:val="center"/>
          </w:tcPr>
          <w:p>
            <w:pPr>
              <w:jc w:val="center"/>
              <w:rPr>
                <w:rFonts w:ascii="宋体" w:hAnsi="宋体"/>
                <w:sz w:val="18"/>
                <w:szCs w:val="18"/>
              </w:rPr>
            </w:pPr>
          </w:p>
        </w:tc>
        <w:tc>
          <w:tcPr>
            <w:tcW w:w="2198" w:type="pct"/>
            <w:gridSpan w:val="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9" w:type="pct"/>
            <w:gridSpan w:val="4"/>
            <w:vAlign w:val="center"/>
          </w:tcPr>
          <w:p>
            <w:pPr>
              <w:jc w:val="center"/>
              <w:rPr>
                <w:rFonts w:ascii="宋体" w:hAnsi="宋体"/>
                <w:sz w:val="18"/>
                <w:szCs w:val="18"/>
              </w:rPr>
            </w:pPr>
            <w:r>
              <w:rPr>
                <w:rFonts w:ascii="宋体" w:hAnsi="宋体"/>
                <w:sz w:val="18"/>
                <w:szCs w:val="18"/>
              </w:rPr>
              <w:t>结果</w:t>
            </w:r>
          </w:p>
        </w:tc>
        <w:tc>
          <w:tcPr>
            <w:tcW w:w="891" w:type="pct"/>
            <w:gridSpan w:val="2"/>
            <w:vAlign w:val="center"/>
          </w:tcPr>
          <w:p>
            <w:pPr>
              <w:jc w:val="center"/>
              <w:rPr>
                <w:rFonts w:ascii="宋体" w:hAnsi="宋体"/>
                <w:sz w:val="18"/>
                <w:szCs w:val="18"/>
              </w:rPr>
            </w:pPr>
          </w:p>
        </w:tc>
        <w:tc>
          <w:tcPr>
            <w:tcW w:w="2198" w:type="pct"/>
            <w:gridSpan w:val="4"/>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vAlign w:val="center"/>
          </w:tcPr>
          <w:p>
            <w:pPr>
              <w:spacing w:line="0" w:lineRule="atLeast"/>
              <w:jc w:val="left"/>
              <w:rPr>
                <w:b/>
                <w:sz w:val="18"/>
                <w:szCs w:val="18"/>
              </w:rPr>
            </w:pPr>
            <w:r>
              <w:rPr>
                <w:rFonts w:hint="eastAsia"/>
                <w:b/>
                <w:sz w:val="18"/>
                <w:szCs w:val="18"/>
              </w:rPr>
              <w:t>三</w:t>
            </w:r>
            <w:r>
              <w:rPr>
                <w:b/>
                <w:sz w:val="18"/>
                <w:szCs w:val="18"/>
              </w:rPr>
              <w:t>、仪器设备</w:t>
            </w:r>
            <w:r>
              <w:rPr>
                <w:rFonts w:hint="eastAsia"/>
                <w:b/>
                <w:sz w:val="18"/>
                <w:szCs w:val="1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9" w:type="pct"/>
            <w:gridSpan w:val="4"/>
            <w:vAlign w:val="center"/>
          </w:tcPr>
          <w:p>
            <w:pPr>
              <w:pStyle w:val="247"/>
              <w:numPr>
                <w:ilvl w:val="0"/>
                <w:numId w:val="0"/>
              </w:numPr>
              <w:spacing w:before="0" w:beforeLines="0" w:after="0" w:afterLines="0"/>
              <w:jc w:val="center"/>
              <w:rPr>
                <w:sz w:val="18"/>
                <w:szCs w:val="18"/>
              </w:rPr>
            </w:pPr>
            <w:r>
              <w:rPr>
                <w:rFonts w:hint="eastAsia"/>
                <w:sz w:val="18"/>
                <w:szCs w:val="18"/>
              </w:rPr>
              <w:t>项目</w:t>
            </w:r>
          </w:p>
        </w:tc>
        <w:tc>
          <w:tcPr>
            <w:tcW w:w="891" w:type="pct"/>
            <w:gridSpan w:val="2"/>
            <w:vAlign w:val="center"/>
          </w:tcPr>
          <w:p>
            <w:pPr>
              <w:jc w:val="center"/>
              <w:rPr>
                <w:sz w:val="18"/>
                <w:szCs w:val="18"/>
              </w:rPr>
            </w:pPr>
            <w:r>
              <w:rPr>
                <w:rFonts w:hint="eastAsia" w:ascii="宋体" w:hAnsi="宋体"/>
                <w:sz w:val="18"/>
                <w:szCs w:val="18"/>
              </w:rPr>
              <w:t>结果判定</w:t>
            </w:r>
          </w:p>
        </w:tc>
        <w:tc>
          <w:tcPr>
            <w:tcW w:w="2198" w:type="pct"/>
            <w:gridSpan w:val="4"/>
            <w:vAlign w:val="center"/>
          </w:tcPr>
          <w:p>
            <w:pPr>
              <w:pStyle w:val="247"/>
              <w:numPr>
                <w:ilvl w:val="0"/>
                <w:numId w:val="0"/>
              </w:numPr>
              <w:spacing w:before="0" w:beforeLines="0" w:after="0" w:afterLines="0"/>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9" w:type="pct"/>
            <w:gridSpan w:val="4"/>
            <w:vAlign w:val="center"/>
          </w:tcPr>
          <w:p>
            <w:pPr>
              <w:pStyle w:val="247"/>
              <w:numPr>
                <w:ilvl w:val="0"/>
                <w:numId w:val="0"/>
              </w:numPr>
              <w:spacing w:before="0" w:beforeLines="0" w:after="0" w:afterLines="0"/>
              <w:jc w:val="center"/>
              <w:rPr>
                <w:sz w:val="18"/>
                <w:szCs w:val="18"/>
              </w:rPr>
            </w:pPr>
            <w:r>
              <w:rPr>
                <w:rFonts w:hint="eastAsia"/>
                <w:sz w:val="18"/>
                <w:szCs w:val="18"/>
              </w:rPr>
              <w:t>免于仪器设备</w:t>
            </w:r>
            <w:r>
              <w:rPr>
                <w:rFonts w:hint="eastAsia"/>
                <w:sz w:val="18"/>
                <w:szCs w:val="18"/>
                <w:lang w:val="en-US" w:eastAsia="zh-CN"/>
              </w:rPr>
              <w:t>项目</w:t>
            </w:r>
          </w:p>
        </w:tc>
        <w:tc>
          <w:tcPr>
            <w:tcW w:w="891" w:type="pct"/>
            <w:gridSpan w:val="2"/>
            <w:vAlign w:val="center"/>
          </w:tcPr>
          <w:p>
            <w:pPr>
              <w:pStyle w:val="247"/>
              <w:numPr>
                <w:ilvl w:val="0"/>
                <w:numId w:val="0"/>
              </w:numPr>
              <w:spacing w:before="0" w:beforeLines="0" w:after="0" w:afterLines="0"/>
              <w:jc w:val="center"/>
              <w:rPr>
                <w:sz w:val="18"/>
                <w:szCs w:val="18"/>
              </w:rPr>
            </w:pPr>
          </w:p>
        </w:tc>
        <w:tc>
          <w:tcPr>
            <w:tcW w:w="2198" w:type="pct"/>
            <w:gridSpan w:val="4"/>
            <w:vAlign w:val="center"/>
          </w:tcPr>
          <w:p>
            <w:pPr>
              <w:pStyle w:val="247"/>
              <w:numPr>
                <w:ilvl w:val="0"/>
                <w:numId w:val="0"/>
              </w:numPr>
              <w:spacing w:before="0" w:beforeLines="0" w:after="0" w:afterLines="0"/>
              <w:jc w:val="center"/>
              <w:rPr>
                <w:sz w:val="18"/>
                <w:szCs w:val="18"/>
              </w:rPr>
            </w:pPr>
            <w:r>
              <w:rPr>
                <w:rFonts w:hint="eastAsia"/>
                <w:sz w:val="18"/>
                <w:szCs w:val="18"/>
              </w:rPr>
              <w:t>有效期至：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9" w:type="pct"/>
            <w:gridSpan w:val="4"/>
            <w:vAlign w:val="center"/>
          </w:tcPr>
          <w:p>
            <w:pPr>
              <w:pStyle w:val="247"/>
              <w:numPr>
                <w:ilvl w:val="0"/>
                <w:numId w:val="0"/>
              </w:numPr>
              <w:spacing w:before="0" w:beforeLines="0" w:after="0" w:afterLines="0"/>
              <w:jc w:val="center"/>
              <w:rPr>
                <w:sz w:val="18"/>
                <w:szCs w:val="18"/>
              </w:rPr>
            </w:pPr>
            <w:r>
              <w:rPr>
                <w:rFonts w:hint="eastAsia"/>
                <w:sz w:val="18"/>
                <w:szCs w:val="18"/>
              </w:rPr>
              <w:t>仪器设备</w:t>
            </w:r>
            <w:r>
              <w:rPr>
                <w:rFonts w:hint="eastAsia"/>
                <w:sz w:val="18"/>
                <w:szCs w:val="18"/>
                <w:lang w:val="en-US" w:eastAsia="zh-CN"/>
              </w:rPr>
              <w:t>项目</w:t>
            </w:r>
          </w:p>
        </w:tc>
        <w:tc>
          <w:tcPr>
            <w:tcW w:w="891" w:type="pct"/>
            <w:gridSpan w:val="2"/>
            <w:vAlign w:val="center"/>
          </w:tcPr>
          <w:p>
            <w:pPr>
              <w:pStyle w:val="247"/>
              <w:numPr>
                <w:ilvl w:val="0"/>
                <w:numId w:val="0"/>
              </w:numPr>
              <w:spacing w:before="0" w:beforeLines="0" w:after="0" w:afterLines="0"/>
              <w:jc w:val="center"/>
              <w:rPr>
                <w:sz w:val="18"/>
                <w:szCs w:val="18"/>
              </w:rPr>
            </w:pPr>
          </w:p>
        </w:tc>
        <w:tc>
          <w:tcPr>
            <w:tcW w:w="2198" w:type="pct"/>
            <w:gridSpan w:val="4"/>
            <w:vAlign w:val="center"/>
          </w:tcPr>
          <w:p>
            <w:pPr>
              <w:pStyle w:val="247"/>
              <w:numPr>
                <w:ilvl w:val="0"/>
                <w:numId w:val="0"/>
              </w:numPr>
              <w:spacing w:before="0" w:beforeLines="0" w:after="0" w:afterLine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0"/>
            <w:vAlign w:val="center"/>
          </w:tcPr>
          <w:p>
            <w:pPr>
              <w:spacing w:line="0" w:lineRule="atLeast"/>
              <w:jc w:val="left"/>
              <w:rPr>
                <w:b/>
                <w:sz w:val="18"/>
                <w:szCs w:val="18"/>
              </w:rPr>
            </w:pPr>
            <w:r>
              <w:rPr>
                <w:rFonts w:hint="eastAsia"/>
                <w:b/>
                <w:sz w:val="18"/>
                <w:szCs w:val="18"/>
              </w:rPr>
              <w:t>四</w:t>
            </w:r>
            <w:r>
              <w:rPr>
                <w:b/>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1" w:type="pct"/>
            <w:gridSpan w:val="2"/>
            <w:vAlign w:val="center"/>
          </w:tcPr>
          <w:p>
            <w:pPr>
              <w:pStyle w:val="247"/>
              <w:numPr>
                <w:ilvl w:val="0"/>
                <w:numId w:val="0"/>
              </w:numPr>
              <w:spacing w:before="0" w:beforeLines="0" w:after="0" w:afterLines="0"/>
              <w:jc w:val="center"/>
              <w:rPr>
                <w:sz w:val="18"/>
                <w:szCs w:val="18"/>
              </w:rPr>
            </w:pPr>
            <w:r>
              <w:rPr>
                <w:sz w:val="18"/>
                <w:szCs w:val="18"/>
              </w:rPr>
              <w:t>结论</w:t>
            </w:r>
          </w:p>
        </w:tc>
        <w:tc>
          <w:tcPr>
            <w:tcW w:w="1909" w:type="pct"/>
            <w:gridSpan w:val="4"/>
            <w:vAlign w:val="center"/>
          </w:tcPr>
          <w:p>
            <w:pPr>
              <w:spacing w:line="0" w:lineRule="atLeast"/>
              <w:jc w:val="center"/>
              <w:rPr>
                <w:sz w:val="18"/>
                <w:szCs w:val="18"/>
              </w:rPr>
            </w:pPr>
          </w:p>
        </w:tc>
        <w:tc>
          <w:tcPr>
            <w:tcW w:w="929" w:type="pct"/>
            <w:gridSpan w:val="2"/>
            <w:vAlign w:val="center"/>
          </w:tcPr>
          <w:p>
            <w:pPr>
              <w:pStyle w:val="247"/>
              <w:numPr>
                <w:ilvl w:val="0"/>
                <w:numId w:val="0"/>
              </w:numPr>
              <w:spacing w:before="0" w:beforeLines="0" w:after="0" w:afterLines="0"/>
              <w:jc w:val="center"/>
              <w:rPr>
                <w:sz w:val="18"/>
                <w:szCs w:val="18"/>
              </w:rPr>
            </w:pPr>
            <w:r>
              <w:rPr>
                <w:sz w:val="18"/>
                <w:szCs w:val="18"/>
              </w:rPr>
              <w:t>授权签字人</w:t>
            </w:r>
          </w:p>
        </w:tc>
        <w:tc>
          <w:tcPr>
            <w:tcW w:w="1268" w:type="pct"/>
            <w:gridSpan w:val="2"/>
            <w:vAlign w:val="center"/>
          </w:tcPr>
          <w:p>
            <w:pPr>
              <w:spacing w:line="0" w:lineRule="atLeast"/>
              <w:jc w:val="distribute"/>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000" w:type="pct"/>
            <w:gridSpan w:val="10"/>
            <w:vAlign w:val="center"/>
          </w:tcPr>
          <w:p>
            <w:pPr>
              <w:spacing w:line="0" w:lineRule="atLeast"/>
              <w:jc w:val="right"/>
              <w:rPr>
                <w:sz w:val="18"/>
                <w:szCs w:val="18"/>
              </w:rPr>
            </w:pPr>
            <w:r>
              <w:drawing>
                <wp:anchor distT="0" distB="0" distL="0" distR="0" simplePos="0" relativeHeight="251664384" behindDoc="0" locked="0" layoutInCell="1" allowOverlap="1">
                  <wp:simplePos x="0" y="0"/>
                  <wp:positionH relativeFrom="column">
                    <wp:posOffset>2074545</wp:posOffset>
                  </wp:positionH>
                  <wp:positionV relativeFrom="paragraph">
                    <wp:posOffset>676910</wp:posOffset>
                  </wp:positionV>
                  <wp:extent cx="1485900" cy="60325"/>
                  <wp:effectExtent l="0" t="0" r="0" b="1587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a:srcRect t="81000"/>
                          <a:stretch>
                            <a:fillRect/>
                          </a:stretch>
                        </pic:blipFill>
                        <pic:spPr>
                          <a:xfrm>
                            <a:off x="0" y="0"/>
                            <a:ext cx="1485900" cy="60325"/>
                          </a:xfrm>
                          <a:prstGeom prst="rect">
                            <a:avLst/>
                          </a:prstGeom>
                        </pic:spPr>
                      </pic:pic>
                    </a:graphicData>
                  </a:graphic>
                </wp:anchor>
              </w:drawing>
            </w:r>
            <w:r>
              <w:rPr>
                <w:sz w:val="18"/>
                <w:szCs w:val="18"/>
              </w:rPr>
              <w:t>单位名称（盖章）：</w:t>
            </w:r>
            <w:r>
              <w:rPr>
                <w:rFonts w:ascii="Times New Roman" w:hAnsi="Times New Roman" w:cs="Times New Roman"/>
                <w:sz w:val="18"/>
                <w:szCs w:val="18"/>
              </w:rPr>
              <w:t>XXXX</w:t>
            </w:r>
          </w:p>
        </w:tc>
      </w:tr>
      <w:bookmarkEnd w:id="39"/>
      <w:bookmarkEnd w:id="324"/>
      <w:bookmarkEnd w:id="325"/>
    </w:tbl>
    <w:p/>
    <w:sectPr>
      <w:headerReference r:id="rId14" w:type="default"/>
      <w:footerReference r:id="rId15" w:type="default"/>
      <w:pgSz w:w="11906" w:h="16838"/>
      <w:pgMar w:top="1871"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9"/>
    </w:pPr>
    <w:r>
      <w:fldChar w:fldCharType="begin"/>
    </w:r>
    <w:r>
      <w:instrText xml:space="preserve"> PAGE  \* MERGEFORMAT </w:instrText>
    </w:r>
    <w:r>
      <w:fldChar w:fldCharType="separate"/>
    </w:r>
    <w: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ascii="Times New Roman" w:hAnsi="Times New Roman" w:cs="Times New Roman"/>
        <w:sz w:val="21"/>
        <w:szCs w:val="21"/>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11</w:t>
    </w:r>
    <w:r>
      <w:rP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10</w:t>
    </w:r>
    <w:r>
      <w:rP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right"/>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WM/T XXXX</w:t>
    </w:r>
    <w:r>
      <w:rPr>
        <w:rFonts w:hint="eastAsia" w:ascii="黑体" w:hAnsi="黑体" w:eastAsia="黑体" w:cs="黑体"/>
        <w:b w:val="0"/>
        <w:bCs/>
        <w:sz w:val="21"/>
        <w:szCs w:val="21"/>
      </w:rPr>
      <w:t>—</w:t>
    </w:r>
    <w:r>
      <w:rPr>
        <w:rFonts w:hint="eastAsia" w:ascii="黑体" w:hAnsi="黑体" w:eastAsia="黑体" w:cs="黑体"/>
        <w:b w:val="0"/>
        <w:bCs/>
        <w:sz w:val="21"/>
        <w:szCs w:val="21"/>
        <w:lang w:val="en-US" w:eastAsia="zh-CN"/>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84" w:line="240" w:lineRule="auto"/>
      <w:jc w:val="left"/>
      <w:rPr>
        <w:rFonts w:ascii="Times New Roman" w:hAnsi="Times New Roman" w:eastAsia="黑体"/>
        <w:b/>
      </w:rPr>
    </w:pPr>
    <w:r>
      <w:rPr>
        <w:rFonts w:ascii="Times New Roman" w:hAnsi="Times New Roman" w:eastAsia="黑体"/>
        <w:b/>
      </w:rPr>
      <w:t>T</w:t>
    </w:r>
    <w:r>
      <w:rPr>
        <w:rFonts w:hint="eastAsia" w:ascii="Times New Roman" w:hAnsi="Times New Roman" w:eastAsia="黑体"/>
        <w:b/>
      </w:rPr>
      <w:t>/</w:t>
    </w:r>
    <w:r>
      <w:rPr>
        <w:rFonts w:ascii="Times New Roman" w:hAnsi="Times New Roman" w:eastAsia="黑体"/>
        <w:b/>
      </w:rPr>
      <w:t xml:space="preserve">CAS </w:t>
    </w:r>
    <w:r>
      <w:rPr>
        <w:rFonts w:hint="eastAsia" w:ascii="Times New Roman" w:hAnsi="Times New Roman" w:eastAsia="黑体"/>
        <w:b/>
      </w:rPr>
      <w:t>357—2</w:t>
    </w:r>
    <w:r>
      <w:rPr>
        <w:rFonts w:ascii="Times New Roman" w:hAnsi="Times New Roman" w:eastAsia="黑体"/>
        <w:b/>
      </w:rPr>
      <w:t>0</w:t>
    </w:r>
    <w:r>
      <w:rPr>
        <w:rFonts w:hint="eastAsia" w:ascii="Times New Roman" w:hAnsi="Times New Roman" w:eastAsia="黑体"/>
        <w:b/>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WM/T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2E32610F"/>
    <w:multiLevelType w:val="multilevel"/>
    <w:tmpl w:val="2E32610F"/>
    <w:lvl w:ilvl="0" w:tentative="0">
      <w:start w:val="1"/>
      <w:numFmt w:val="decimal"/>
      <w:pStyle w:val="249"/>
      <w:lvlText w:val="图%1 "/>
      <w:lvlJc w:val="left"/>
      <w:pPr>
        <w:ind w:left="220" w:hanging="420"/>
      </w:pPr>
      <w:rPr>
        <w:rFonts w:hint="default" w:ascii="Times New Roman" w:hAnsi="Times New Roman" w:eastAsia="黑体"/>
        <w:sz w:val="21"/>
      </w:rPr>
    </w:lvl>
    <w:lvl w:ilvl="1" w:tentative="0">
      <w:start w:val="1"/>
      <w:numFmt w:val="lowerLetter"/>
      <w:lvlText w:val="%2)"/>
      <w:lvlJc w:val="left"/>
      <w:pPr>
        <w:ind w:left="640" w:hanging="420"/>
      </w:pPr>
    </w:lvl>
    <w:lvl w:ilvl="2" w:tentative="0">
      <w:start w:val="1"/>
      <w:numFmt w:val="lowerRoman"/>
      <w:lvlText w:val="%3."/>
      <w:lvlJc w:val="right"/>
      <w:pPr>
        <w:ind w:left="1060" w:hanging="420"/>
      </w:pPr>
    </w:lvl>
    <w:lvl w:ilvl="3" w:tentative="0">
      <w:start w:val="1"/>
      <w:numFmt w:val="decimal"/>
      <w:lvlText w:val="%4."/>
      <w:lvlJc w:val="left"/>
      <w:pPr>
        <w:ind w:left="1480" w:hanging="420"/>
      </w:pPr>
    </w:lvl>
    <w:lvl w:ilvl="4" w:tentative="0">
      <w:start w:val="1"/>
      <w:numFmt w:val="lowerLetter"/>
      <w:lvlText w:val="%5)"/>
      <w:lvlJc w:val="left"/>
      <w:pPr>
        <w:ind w:left="1900" w:hanging="420"/>
      </w:pPr>
    </w:lvl>
    <w:lvl w:ilvl="5" w:tentative="0">
      <w:start w:val="1"/>
      <w:numFmt w:val="lowerRoman"/>
      <w:lvlText w:val="%6."/>
      <w:lvlJc w:val="right"/>
      <w:pPr>
        <w:ind w:left="2320" w:hanging="420"/>
      </w:pPr>
    </w:lvl>
    <w:lvl w:ilvl="6" w:tentative="0">
      <w:start w:val="1"/>
      <w:numFmt w:val="decimal"/>
      <w:lvlText w:val="%7."/>
      <w:lvlJc w:val="left"/>
      <w:pPr>
        <w:ind w:left="2740" w:hanging="420"/>
      </w:pPr>
    </w:lvl>
    <w:lvl w:ilvl="7" w:tentative="0">
      <w:start w:val="1"/>
      <w:numFmt w:val="lowerLetter"/>
      <w:lvlText w:val="%8)"/>
      <w:lvlJc w:val="left"/>
      <w:pPr>
        <w:ind w:left="3160" w:hanging="420"/>
      </w:pPr>
    </w:lvl>
    <w:lvl w:ilvl="8" w:tentative="0">
      <w:start w:val="1"/>
      <w:numFmt w:val="lowerRoman"/>
      <w:lvlText w:val="%9."/>
      <w:lvlJc w:val="right"/>
      <w:pPr>
        <w:ind w:left="3580" w:hanging="420"/>
      </w:p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10D4BA8"/>
    <w:multiLevelType w:val="multilevel"/>
    <w:tmpl w:val="410D4BA8"/>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B821242"/>
    <w:multiLevelType w:val="multilevel"/>
    <w:tmpl w:val="4B821242"/>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6BF1472"/>
    <w:multiLevelType w:val="multilevel"/>
    <w:tmpl w:val="56BF1472"/>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3906822"/>
    <w:multiLevelType w:val="multilevel"/>
    <w:tmpl w:val="63906822"/>
    <w:lvl w:ilvl="0" w:tentative="0">
      <w:start w:val="1"/>
      <w:numFmt w:val="decimal"/>
      <w:suff w:val="nothing"/>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6">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7">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8">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0">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23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3">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4">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5">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2"/>
  </w:num>
  <w:num w:numId="3">
    <w:abstractNumId w:val="5"/>
  </w:num>
  <w:num w:numId="4">
    <w:abstractNumId w:val="28"/>
  </w:num>
  <w:num w:numId="5">
    <w:abstractNumId w:val="21"/>
  </w:num>
  <w:num w:numId="6">
    <w:abstractNumId w:val="15"/>
  </w:num>
  <w:num w:numId="7">
    <w:abstractNumId w:val="8"/>
  </w:num>
  <w:num w:numId="8">
    <w:abstractNumId w:val="3"/>
  </w:num>
  <w:num w:numId="9">
    <w:abstractNumId w:val="9"/>
  </w:num>
  <w:num w:numId="10">
    <w:abstractNumId w:val="19"/>
  </w:num>
  <w:num w:numId="11">
    <w:abstractNumId w:val="30"/>
  </w:num>
  <w:num w:numId="12">
    <w:abstractNumId w:val="12"/>
  </w:num>
  <w:num w:numId="13">
    <w:abstractNumId w:val="14"/>
  </w:num>
  <w:num w:numId="14">
    <w:abstractNumId w:val="7"/>
  </w:num>
  <w:num w:numId="15">
    <w:abstractNumId w:val="22"/>
  </w:num>
  <w:num w:numId="16">
    <w:abstractNumId w:val="26"/>
  </w:num>
  <w:num w:numId="17">
    <w:abstractNumId w:val="20"/>
  </w:num>
  <w:num w:numId="18">
    <w:abstractNumId w:val="34"/>
  </w:num>
  <w:num w:numId="19">
    <w:abstractNumId w:val="18"/>
  </w:num>
  <w:num w:numId="20">
    <w:abstractNumId w:val="1"/>
  </w:num>
  <w:num w:numId="21">
    <w:abstractNumId w:val="10"/>
  </w:num>
  <w:num w:numId="22">
    <w:abstractNumId w:val="35"/>
  </w:num>
  <w:num w:numId="23">
    <w:abstractNumId w:val="25"/>
  </w:num>
  <w:num w:numId="24">
    <w:abstractNumId w:val="6"/>
  </w:num>
  <w:num w:numId="25">
    <w:abstractNumId w:val="31"/>
  </w:num>
  <w:num w:numId="26">
    <w:abstractNumId w:val="33"/>
  </w:num>
  <w:num w:numId="27">
    <w:abstractNumId w:val="2"/>
  </w:num>
  <w:num w:numId="28">
    <w:abstractNumId w:val="4"/>
  </w:num>
  <w:num w:numId="29">
    <w:abstractNumId w:val="16"/>
  </w:num>
  <w:num w:numId="30">
    <w:abstractNumId w:val="29"/>
  </w:num>
  <w:num w:numId="31">
    <w:abstractNumId w:val="27"/>
  </w:num>
  <w:num w:numId="32">
    <w:abstractNumId w:val="11"/>
  </w:num>
  <w:num w:numId="33">
    <w:abstractNumId w:val="24"/>
  </w:num>
  <w:num w:numId="34">
    <w:abstractNumId w:val="13"/>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D10E3"/>
    <w:rsid w:val="003B1931"/>
    <w:rsid w:val="040810F5"/>
    <w:rsid w:val="0AC57682"/>
    <w:rsid w:val="0CBA64C2"/>
    <w:rsid w:val="10434011"/>
    <w:rsid w:val="161A3655"/>
    <w:rsid w:val="16942D4D"/>
    <w:rsid w:val="172620B0"/>
    <w:rsid w:val="19324050"/>
    <w:rsid w:val="1B2220D7"/>
    <w:rsid w:val="1D1B7111"/>
    <w:rsid w:val="1FE43BDF"/>
    <w:rsid w:val="204D3DF8"/>
    <w:rsid w:val="2081167D"/>
    <w:rsid w:val="24CE3FEE"/>
    <w:rsid w:val="26B57A0B"/>
    <w:rsid w:val="28A237E9"/>
    <w:rsid w:val="2E205F37"/>
    <w:rsid w:val="30E402A4"/>
    <w:rsid w:val="327223BC"/>
    <w:rsid w:val="32B74245"/>
    <w:rsid w:val="32CB57C1"/>
    <w:rsid w:val="33753A32"/>
    <w:rsid w:val="33B97792"/>
    <w:rsid w:val="3AEC772B"/>
    <w:rsid w:val="3E2561E7"/>
    <w:rsid w:val="419978ED"/>
    <w:rsid w:val="42FF32E1"/>
    <w:rsid w:val="448E6C86"/>
    <w:rsid w:val="4492502D"/>
    <w:rsid w:val="44DD5B9F"/>
    <w:rsid w:val="49CE7AE8"/>
    <w:rsid w:val="50A03BDE"/>
    <w:rsid w:val="5720201D"/>
    <w:rsid w:val="59316711"/>
    <w:rsid w:val="5A286377"/>
    <w:rsid w:val="615D10E3"/>
    <w:rsid w:val="66551FB2"/>
    <w:rsid w:val="674E060F"/>
    <w:rsid w:val="6B0F0CFE"/>
    <w:rsid w:val="6BDF0647"/>
    <w:rsid w:val="6E9D2C84"/>
    <w:rsid w:val="71C350D7"/>
    <w:rsid w:val="71FA7D1D"/>
    <w:rsid w:val="723A66E7"/>
    <w:rsid w:val="76C700A1"/>
    <w:rsid w:val="7DF6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0"/>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Plain Text"/>
    <w:basedOn w:val="1"/>
    <w:link w:val="236"/>
    <w:qFormat/>
    <w:uiPriority w:val="0"/>
    <w:pPr>
      <w:adjustRightInd/>
      <w:spacing w:line="240" w:lineRule="auto"/>
    </w:pPr>
    <w:rPr>
      <w:rFonts w:ascii="宋体" w:hAnsi="Courier New" w:cs="Courier New"/>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pPr>
      <w:tabs>
        <w:tab w:val="right" w:leader="dot" w:pos="9344"/>
      </w:tabs>
    </w:pPr>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next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rFonts w:ascii="Calibri" w:hAnsi="Calibri" w:eastAsia="宋体" w:cs="Times New Roman"/>
      <w:b/>
      <w:bCs/>
      <w:lang w:val="en-US" w:eastAsia="zh-CN" w:bidi="ar-SA"/>
    </w:rPr>
  </w:style>
  <w:style w:type="character" w:styleId="31">
    <w:name w:val="page number"/>
    <w:qFormat/>
    <w:uiPriority w:val="0"/>
    <w:rPr>
      <w:rFonts w:ascii="宋体" w:hAnsi="Times New Roman" w:eastAsia="宋体" w:cs="Times New Roman"/>
      <w:sz w:val="18"/>
      <w:lang w:val="en-US" w:eastAsia="zh-CN" w:bidi="ar-SA"/>
    </w:rPr>
  </w:style>
  <w:style w:type="character" w:styleId="32">
    <w:name w:val="Emphasis"/>
    <w:qFormat/>
    <w:uiPriority w:val="20"/>
    <w:rPr>
      <w:rFonts w:ascii="Calibri" w:hAnsi="Calibri" w:eastAsia="宋体" w:cs="Times New Roman"/>
      <w:i/>
      <w:iCs/>
      <w:lang w:val="en-US" w:eastAsia="zh-CN" w:bidi="ar-SA"/>
    </w:rPr>
  </w:style>
  <w:style w:type="character" w:styleId="33">
    <w:name w:val="Hyperlink"/>
    <w:qFormat/>
    <w:uiPriority w:val="99"/>
    <w:rPr>
      <w:rFonts w:ascii="宋体" w:hAnsi="Times New Roman" w:eastAsia="宋体" w:cs="Times New Roman"/>
      <w:color w:val="auto"/>
      <w:spacing w:val="0"/>
      <w:w w:val="100"/>
      <w:position w:val="0"/>
      <w:sz w:val="21"/>
      <w:u w:val="none"/>
      <w:vertAlign w:val="baseline"/>
      <w:lang w:val="en-US" w:eastAsia="zh-CN" w:bidi="ar-SA"/>
    </w:rPr>
  </w:style>
  <w:style w:type="character" w:styleId="34">
    <w:name w:val="footnote reference"/>
    <w:semiHidden/>
    <w:qFormat/>
    <w:uiPriority w:val="0"/>
    <w:rPr>
      <w:rFonts w:ascii="宋体" w:hAnsi="宋体" w:eastAsia="宋体" w:cs="Times New Roman"/>
      <w:spacing w:val="0"/>
      <w:sz w:val="18"/>
      <w:vertAlign w:val="superscript"/>
      <w:lang w:val="en-US" w:eastAsia="zh-CN" w:bidi="ar-SA"/>
    </w:rPr>
  </w:style>
  <w:style w:type="character" w:customStyle="1" w:styleId="35">
    <w:name w:val="标题 1 Char"/>
    <w:link w:val="2"/>
    <w:qFormat/>
    <w:uiPriority w:val="0"/>
    <w:rPr>
      <w:rFonts w:ascii="Calibri" w:hAnsi="Calibri" w:eastAsia="宋体" w:cs="Times New Roman"/>
      <w:b/>
      <w:bCs/>
      <w:kern w:val="44"/>
      <w:sz w:val="44"/>
      <w:szCs w:val="44"/>
      <w:lang w:val="en-US" w:eastAsia="zh-CN" w:bidi="ar-SA"/>
    </w:rPr>
  </w:style>
  <w:style w:type="character" w:customStyle="1" w:styleId="36">
    <w:name w:val="标题 2 Char"/>
    <w:link w:val="3"/>
    <w:qFormat/>
    <w:uiPriority w:val="0"/>
    <w:rPr>
      <w:rFonts w:ascii="Arial" w:hAnsi="Arial" w:eastAsia="黑体" w:cs="Times New Roman"/>
      <w:b/>
      <w:bCs/>
      <w:sz w:val="32"/>
      <w:szCs w:val="32"/>
      <w:lang w:val="en-US" w:eastAsia="zh-CN" w:bidi="ar-SA"/>
    </w:rPr>
  </w:style>
  <w:style w:type="character" w:customStyle="1" w:styleId="37">
    <w:name w:val="标题 3 Char"/>
    <w:link w:val="4"/>
    <w:qFormat/>
    <w:uiPriority w:val="0"/>
    <w:rPr>
      <w:rFonts w:ascii="Calibri" w:hAnsi="Calibri" w:eastAsia="宋体" w:cs="Times New Roman"/>
      <w:b/>
      <w:bCs/>
      <w:sz w:val="32"/>
      <w:szCs w:val="32"/>
      <w:lang w:val="en-US" w:eastAsia="zh-CN" w:bidi="ar-SA"/>
    </w:rPr>
  </w:style>
  <w:style w:type="character" w:customStyle="1" w:styleId="38">
    <w:name w:val="标题 4 Char"/>
    <w:link w:val="5"/>
    <w:qFormat/>
    <w:uiPriority w:val="0"/>
    <w:rPr>
      <w:rFonts w:ascii="Arial" w:hAnsi="Arial" w:eastAsia="黑体" w:cs="Times New Roman"/>
      <w:b/>
      <w:bCs/>
      <w:sz w:val="28"/>
      <w:szCs w:val="28"/>
      <w:lang w:val="en-US" w:eastAsia="zh-CN" w:bidi="ar-SA"/>
    </w:rPr>
  </w:style>
  <w:style w:type="character" w:customStyle="1" w:styleId="39">
    <w:name w:val="标题 5 Char"/>
    <w:link w:val="6"/>
    <w:qFormat/>
    <w:uiPriority w:val="0"/>
    <w:rPr>
      <w:rFonts w:ascii="Calibri" w:hAnsi="Calibri" w:eastAsia="宋体" w:cs="Times New Roman"/>
      <w:b/>
      <w:bCs/>
      <w:sz w:val="28"/>
      <w:szCs w:val="28"/>
      <w:lang w:val="en-US" w:eastAsia="zh-CN" w:bidi="ar-SA"/>
    </w:rPr>
  </w:style>
  <w:style w:type="character" w:customStyle="1" w:styleId="40">
    <w:name w:val="标题 6 Char"/>
    <w:link w:val="7"/>
    <w:qFormat/>
    <w:uiPriority w:val="0"/>
    <w:rPr>
      <w:rFonts w:ascii="Arial" w:hAnsi="Arial" w:eastAsia="黑体" w:cs="Times New Roman"/>
      <w:b/>
      <w:bCs/>
      <w:sz w:val="24"/>
      <w:szCs w:val="24"/>
      <w:lang w:val="en-US" w:eastAsia="zh-CN" w:bidi="ar-SA"/>
    </w:rPr>
  </w:style>
  <w:style w:type="character" w:customStyle="1" w:styleId="41">
    <w:name w:val="标题 7 Char"/>
    <w:link w:val="8"/>
    <w:qFormat/>
    <w:uiPriority w:val="0"/>
    <w:rPr>
      <w:rFonts w:ascii="Calibri" w:hAnsi="Calibri" w:eastAsia="宋体" w:cs="Times New Roman"/>
      <w:b/>
      <w:bCs/>
      <w:sz w:val="24"/>
      <w:szCs w:val="24"/>
      <w:lang w:val="en-US" w:eastAsia="zh-CN" w:bidi="ar-SA"/>
    </w:rPr>
  </w:style>
  <w:style w:type="character" w:customStyle="1" w:styleId="42">
    <w:name w:val="标题 8 Char"/>
    <w:link w:val="9"/>
    <w:qFormat/>
    <w:uiPriority w:val="0"/>
    <w:rPr>
      <w:rFonts w:ascii="Arial" w:hAnsi="Arial" w:eastAsia="黑体" w:cs="Times New Roman"/>
      <w:sz w:val="24"/>
      <w:szCs w:val="24"/>
      <w:lang w:val="en-US" w:eastAsia="zh-CN" w:bidi="ar-SA"/>
    </w:rPr>
  </w:style>
  <w:style w:type="character" w:customStyle="1" w:styleId="43">
    <w:name w:val="标题 9 Char"/>
    <w:link w:val="10"/>
    <w:qFormat/>
    <w:uiPriority w:val="0"/>
    <w:rPr>
      <w:rFonts w:ascii="Arial" w:hAnsi="Arial" w:eastAsia="黑体" w:cs="Times New Roman"/>
      <w:lang w:val="en-US" w:eastAsia="zh-CN" w:bidi="ar-SA"/>
    </w:rPr>
  </w:style>
  <w:style w:type="character" w:customStyle="1" w:styleId="44">
    <w:name w:val="页眉 Char"/>
    <w:link w:val="19"/>
    <w:qFormat/>
    <w:uiPriority w:val="99"/>
    <w:rPr>
      <w:rFonts w:ascii="Calibri" w:hAnsi="Calibri" w:eastAsia="宋体" w:cs="Times New Roman"/>
      <w:sz w:val="18"/>
      <w:szCs w:val="18"/>
      <w:lang w:val="en-US" w:eastAsia="zh-CN" w:bidi="ar-SA"/>
    </w:rPr>
  </w:style>
  <w:style w:type="character" w:customStyle="1" w:styleId="45">
    <w:name w:val="页脚 Char"/>
    <w:link w:val="18"/>
    <w:qFormat/>
    <w:uiPriority w:val="99"/>
    <w:rPr>
      <w:rFonts w:ascii="宋体" w:hAnsi="Calibri" w:eastAsia="宋体" w:cs="Times New Roman"/>
      <w:sz w:val="18"/>
      <w:szCs w:val="18"/>
      <w:lang w:val="en-US" w:eastAsia="zh-CN" w:bidi="ar-SA"/>
    </w:rPr>
  </w:style>
  <w:style w:type="character" w:customStyle="1" w:styleId="46">
    <w:name w:val="批注框文本 Char"/>
    <w:link w:val="17"/>
    <w:semiHidden/>
    <w:qFormat/>
    <w:uiPriority w:val="99"/>
    <w:rPr>
      <w:rFonts w:ascii="Calibri" w:hAnsi="Calibri" w:eastAsia="宋体" w:cs="Times New Roman"/>
      <w:sz w:val="18"/>
      <w:szCs w:val="18"/>
      <w:lang w:val="en-US" w:eastAsia="zh-CN" w:bidi="ar-SA"/>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rFonts w:ascii="Calibri" w:hAnsi="Calibri" w:eastAsia="宋体" w:cs="Times New Roman"/>
      <w:i/>
      <w:iCs/>
      <w:color w:val="000000"/>
      <w:lang w:val="en-US" w:eastAsia="zh-CN" w:bidi="ar-SA"/>
    </w:rPr>
  </w:style>
  <w:style w:type="character" w:customStyle="1" w:styleId="49">
    <w:name w:val="标题 Char"/>
    <w:link w:val="26"/>
    <w:qFormat/>
    <w:uiPriority w:val="0"/>
    <w:rPr>
      <w:rFonts w:ascii="Arial" w:hAnsi="Arial" w:eastAsia="宋体" w:cs="Arial"/>
      <w:b/>
      <w:bCs/>
      <w:sz w:val="32"/>
      <w:szCs w:val="32"/>
      <w:lang w:val="en-US" w:eastAsia="zh-CN" w:bidi="ar-SA"/>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hAnsi="Calibri" w:eastAsia="黑体" w:cs="Times New Roman"/>
      <w:spacing w:val="0"/>
      <w:w w:val="100"/>
      <w:position w:val="3"/>
      <w:sz w:val="28"/>
      <w:lang w:val="en-US" w:eastAsia="zh-CN" w:bidi="ar-SA"/>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rFonts w:ascii="Calibri" w:hAnsi="Calibri" w:eastAsia="宋体" w:cs="Times New Roman"/>
      <w:lang w:val="en-US" w:eastAsia="zh-CN" w:bidi="ar-SA"/>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rFonts w:ascii="Calibri" w:hAnsi="Calibri" w:eastAsia="宋体" w:cs="Times New Roman"/>
      <w:smallCaps/>
      <w:color w:val="C0504D"/>
      <w:u w:val="single"/>
      <w:lang w:val="en-US" w:eastAsia="zh-CN" w:bidi="ar-SA"/>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hAnsi="Calibri" w:eastAsia="宋体" w:cs="Times New Roman"/>
      <w:sz w:val="18"/>
      <w:szCs w:val="18"/>
      <w:lang w:val="en-US" w:eastAsia="zh-CN" w:bidi="ar-SA"/>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lang w:val="en-US" w:eastAsia="zh-CN" w:bidi="ar-SA"/>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lang w:val="en-US" w:eastAsia="zh-CN" w:bidi="ar-SA"/>
    </w:rPr>
  </w:style>
  <w:style w:type="character" w:customStyle="1" w:styleId="138">
    <w:name w:val="个人撰写风格"/>
    <w:qFormat/>
    <w:uiPriority w:val="0"/>
    <w:rPr>
      <w:rFonts w:ascii="Arial" w:hAnsi="Arial" w:eastAsia="宋体" w:cs="Arial"/>
      <w:color w:val="auto"/>
      <w:spacing w:val="0"/>
      <w:sz w:val="20"/>
      <w:lang w:val="en-US" w:eastAsia="zh-CN" w:bidi="ar-SA"/>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eastAsia="宋体" w:cs="Times New Roman"/>
      <w:sz w:val="21"/>
      <w:lang w:val="en-US" w:eastAsia="zh-CN" w:bidi="ar-SA"/>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rFonts w:ascii="Calibri" w:hAnsi="Calibri" w:eastAsia="宋体" w:cs="Times New Roman"/>
      <w:color w:val="808080"/>
      <w:lang w:val="en-US" w:eastAsia="zh-CN" w:bidi="ar-SA"/>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ascii="Calibri" w:hAnsi="Calibri" w:eastAsia="宋体" w:cs="Times New Roman"/>
      <w:sz w:val="21"/>
      <w:lang w:val="en-US" w:eastAsia="zh-CN" w:bidi="ar-SA"/>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hAnsi="Calibri" w:eastAsia="黑体" w:cs="Times New Roman"/>
      <w:spacing w:val="85"/>
      <w:w w:val="100"/>
      <w:position w:val="3"/>
      <w:sz w:val="28"/>
      <w:szCs w:val="28"/>
      <w:lang w:val="en-US" w:eastAsia="zh-CN" w:bidi="ar-SA"/>
    </w:rPr>
  </w:style>
  <w:style w:type="character" w:customStyle="1" w:styleId="231">
    <w:name w:val="段 Char"/>
    <w:link w:val="232"/>
    <w:qFormat/>
    <w:uiPriority w:val="0"/>
    <w:rPr>
      <w:rFonts w:ascii="宋体" w:hAnsi="Calibri" w:eastAsia="宋体" w:cs="Times New Roman"/>
      <w:sz w:val="21"/>
      <w:lang w:val="en-US" w:eastAsia="zh-CN" w:bidi="ar-SA"/>
    </w:rPr>
  </w:style>
  <w:style w:type="paragraph" w:customStyle="1" w:styleId="232">
    <w:name w:val="段"/>
    <w:link w:val="231"/>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3">
    <w:name w:val="一级条标题"/>
    <w:basedOn w:val="106"/>
    <w:next w:val="232"/>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4">
    <w:name w:val="章标题"/>
    <w:basedOn w:val="235"/>
    <w:next w:val="232"/>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5">
    <w:name w:val="1章标题"/>
    <w:next w:val="57"/>
    <w:qFormat/>
    <w:uiPriority w:val="99"/>
    <w:pPr>
      <w:numPr>
        <w:ilvl w:val="1"/>
        <w:numId w:val="2"/>
      </w:numPr>
      <w:spacing w:beforeLines="50" w:afterLines="50"/>
      <w:jc w:val="both"/>
      <w:outlineLvl w:val="0"/>
    </w:pPr>
    <w:rPr>
      <w:rFonts w:ascii="黑体" w:hAnsi="Times New Roman" w:eastAsia="黑体" w:cs="黑体"/>
      <w:sz w:val="21"/>
      <w:szCs w:val="21"/>
      <w:lang w:val="en-US" w:eastAsia="zh-CN" w:bidi="ar-SA"/>
    </w:rPr>
  </w:style>
  <w:style w:type="character" w:customStyle="1" w:styleId="236">
    <w:name w:val="纯文本 Char"/>
    <w:link w:val="16"/>
    <w:uiPriority w:val="0"/>
    <w:rPr>
      <w:rFonts w:ascii="宋体" w:hAnsi="Courier New" w:eastAsia="宋体" w:cs="Courier New"/>
      <w:lang w:val="en-US" w:eastAsia="zh-CN" w:bidi="ar-SA"/>
    </w:rPr>
  </w:style>
  <w:style w:type="character" w:customStyle="1" w:styleId="237">
    <w:name w:val="纯文本 Char1"/>
    <w:basedOn w:val="29"/>
    <w:semiHidden/>
    <w:uiPriority w:val="99"/>
    <w:rPr>
      <w:rFonts w:ascii="宋体" w:hAnsi="Courier New" w:eastAsia="宋体" w:cs="Courier New"/>
      <w:kern w:val="2"/>
      <w:sz w:val="21"/>
      <w:szCs w:val="21"/>
      <w:lang w:val="en-US" w:eastAsia="zh-CN" w:bidi="ar-SA"/>
    </w:rPr>
  </w:style>
  <w:style w:type="paragraph" w:customStyle="1" w:styleId="238">
    <w:name w:val="附录章标题"/>
    <w:next w:val="232"/>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39">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41">
    <w:name w:val="目次、标准名称标题"/>
    <w:basedOn w:val="1"/>
    <w:next w:val="232"/>
    <w:qFormat/>
    <w:uiPriority w:val="0"/>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paragraph" w:customStyle="1" w:styleId="242">
    <w:name w:val="前言、引言标题"/>
    <w:next w:val="23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3">
    <w:name w:val="目次、前言、引言"/>
    <w:basedOn w:val="26"/>
    <w:next w:val="232"/>
    <w:qFormat/>
    <w:uiPriority w:val="0"/>
    <w:pPr>
      <w:spacing w:before="851" w:after="680" w:line="240" w:lineRule="auto"/>
    </w:pPr>
    <w:rPr>
      <w:rFonts w:eastAsia="黑体"/>
      <w:b w:val="0"/>
    </w:rPr>
  </w:style>
  <w:style w:type="paragraph" w:customStyle="1" w:styleId="244">
    <w:name w:val="征文"/>
    <w:basedOn w:val="232"/>
    <w:qFormat/>
    <w:uiPriority w:val="0"/>
  </w:style>
  <w:style w:type="paragraph" w:customStyle="1" w:styleId="245">
    <w:name w:val="1"/>
    <w:basedOn w:val="234"/>
    <w:qFormat/>
    <w:uiPriority w:val="0"/>
  </w:style>
  <w:style w:type="paragraph" w:customStyle="1" w:styleId="246">
    <w:name w:val="1.1"/>
    <w:basedOn w:val="233"/>
    <w:qFormat/>
    <w:uiPriority w:val="0"/>
  </w:style>
  <w:style w:type="paragraph" w:customStyle="1" w:styleId="247">
    <w:name w:val="1.1.1"/>
    <w:basedOn w:val="248"/>
    <w:qFormat/>
    <w:uiPriority w:val="0"/>
    <w:rPr>
      <w:rFonts w:ascii="宋体" w:hAnsi="宋体" w:eastAsia="宋体"/>
    </w:rPr>
  </w:style>
  <w:style w:type="paragraph" w:customStyle="1" w:styleId="248">
    <w:name w:val="二级条标题"/>
    <w:basedOn w:val="66"/>
    <w:next w:val="232"/>
    <w:qFormat/>
    <w:uiPriority w:val="0"/>
    <w:pPr>
      <w:spacing w:before="50" w:beforeLines="50" w:after="50" w:afterLines="50"/>
    </w:pPr>
    <w:rPr>
      <w:rFonts w:ascii="Times New Roman"/>
    </w:rPr>
  </w:style>
  <w:style w:type="paragraph" w:customStyle="1" w:styleId="249">
    <w:name w:val="正文图题"/>
    <w:basedOn w:val="24"/>
    <w:next w:val="232"/>
    <w:qFormat/>
    <w:uiPriority w:val="0"/>
    <w:pPr>
      <w:numPr>
        <w:ilvl w:val="0"/>
        <w:numId w:val="32"/>
      </w:numPr>
      <w:spacing w:before="50" w:beforeLines="50" w:after="50" w:afterLines="50" w:line="240" w:lineRule="auto"/>
      <w:ind w:left="0" w:leftChars="0" w:firstLine="0" w:firstLineChars="0"/>
      <w:jc w:val="center"/>
    </w:pPr>
    <w:rPr>
      <w:rFonts w:ascii="Times New Roman" w:hAnsi="Times New Roman" w:eastAsia="黑体"/>
    </w:rPr>
  </w:style>
  <w:style w:type="paragraph" w:customStyle="1" w:styleId="250">
    <w:name w:val="附录标题"/>
    <w:basedOn w:val="251"/>
    <w:next w:val="232"/>
    <w:qFormat/>
    <w:uiPriority w:val="0"/>
    <w:pPr>
      <w:numPr>
        <w:ilvl w:val="0"/>
        <w:numId w:val="4"/>
      </w:numPr>
      <w:tabs>
        <w:tab w:val="left" w:pos="360"/>
        <w:tab w:val="left" w:pos="6405"/>
      </w:tabs>
      <w:spacing w:after="360" w:line="360" w:lineRule="exact"/>
    </w:pPr>
  </w:style>
  <w:style w:type="paragraph" w:customStyle="1" w:styleId="251">
    <w:name w:val="附录标识"/>
    <w:basedOn w:val="1"/>
    <w:next w:val="232"/>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cs="Times New Roman"/>
      <w:kern w:val="0"/>
      <w:szCs w:val="20"/>
    </w:rPr>
  </w:style>
  <w:style w:type="paragraph" w:customStyle="1" w:styleId="252">
    <w:name w:val="附录表标题"/>
    <w:basedOn w:val="1"/>
    <w:next w:val="232"/>
    <w:qFormat/>
    <w:uiPriority w:val="0"/>
    <w:pPr>
      <w:tabs>
        <w:tab w:val="left" w:pos="180"/>
      </w:tabs>
      <w:adjustRightInd/>
      <w:spacing w:beforeLines="50" w:afterLines="50" w:line="240" w:lineRule="auto"/>
      <w:jc w:val="center"/>
    </w:pPr>
    <w:rPr>
      <w:rFonts w:ascii="黑体" w:hAnsi="Times New Roman" w:eastAsia="黑体" w:cs="Times New Roman"/>
    </w:rPr>
  </w:style>
  <w:style w:type="paragraph" w:customStyle="1" w:styleId="253">
    <w:name w:val="表"/>
    <w:basedOn w:val="232"/>
    <w:qFormat/>
    <w:uiPriority w:val="0"/>
    <w:pPr>
      <w:spacing w:before="50" w:beforeLines="50" w:after="50" w:afterLines="50"/>
      <w:ind w:firstLine="0" w:firstLineChars="0"/>
      <w:jc w:val="center"/>
    </w:pPr>
    <w:rPr>
      <w:rFonts w:ascii="黑体" w:hAnsi="黑体"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oleObject1.bin"/><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68e9925-405c-4c99-b689-fcf043836742}"/>
        <w:style w:val=""/>
        <w:category>
          <w:name w:val="常规"/>
          <w:gallery w:val="placeholder"/>
        </w:category>
        <w:types>
          <w:type w:val="bbPlcHdr"/>
        </w:types>
        <w:behaviors>
          <w:behavior w:val="content"/>
        </w:behaviors>
        <w:description w:val=""/>
        <w:guid w:val="{e68e9925-405c-4c99-b689-fcf043836742}"/>
      </w:docPartPr>
      <w:docPartBody>
        <w:p>
          <w:pPr>
            <w:pStyle w:val="5"/>
          </w:pPr>
          <w:r>
            <w:rPr>
              <w:rStyle w:val="4"/>
              <w:rFonts w:hint="eastAsia"/>
            </w:rPr>
            <w:t>单击或点击此处输入文字。</w:t>
          </w:r>
        </w:p>
      </w:docPartBody>
    </w:docPart>
    <w:docPart>
      <w:docPartPr>
        <w:name w:val="{d9ea4fdd-0485-4fbb-9e56-8ab6a02f058f}"/>
        <w:style w:val=""/>
        <w:category>
          <w:name w:val="常规"/>
          <w:gallery w:val="placeholder"/>
        </w:category>
        <w:types>
          <w:type w:val="bbPlcHdr"/>
        </w:types>
        <w:behaviors>
          <w:behavior w:val="content"/>
        </w:behaviors>
        <w:description w:val=""/>
        <w:guid w:val="{d9ea4fdd-0485-4fbb-9e56-8ab6a02f058f}"/>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rPr>
      <w:rFonts w:asciiTheme="minorHAnsi" w:hAnsiTheme="minorHAnsi" w:eastAsiaTheme="minorEastAsia" w:cstheme="minorBidi"/>
      <w:kern w:val="2"/>
      <w:sz w:val="21"/>
      <w:szCs w:val="22"/>
      <w:lang w:val="en-US" w:eastAsia="zh-CN" w:bidi="ar-SA"/>
    </w:rPr>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759377FE9D240ED993C7BD251B4DA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E730B62B29B43C78BC6DDE1D1A07E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2DD755B18A4401A8FED3D527084E74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10</Pages>
  <Words>1045</Words>
  <Characters>5961</Characters>
  <Lines>49</Lines>
  <Paragraphs>13</Paragraphs>
  <TotalTime>22</TotalTime>
  <ScaleCrop>false</ScaleCrop>
  <LinksUpToDate>false</LinksUpToDate>
  <CharactersWithSpaces>6993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2020-11-16T13:32:00Z</dcterms:created>
  <dc:creator>PC</dc:creator>
  <cp:lastModifiedBy>E470</cp:lastModifiedBy>
  <cp:lastPrinted>2020-08-30T08:55:00Z</cp:lastPrinted>
  <dcterms:modified xsi:type="dcterms:W3CDTF">2021-03-25T02:56:27Z</dcterms:modified>
  <dc:title>行业标准</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doctype">
    <vt:lpwstr>SDKXY</vt:lpwstr>
  </property>
  <property fmtid="{D5CDD505-2E9C-101B-9397-08002B2CF9AE}" pid="4" name="cover">
    <vt:lpwstr>true</vt:lpwstr>
  </property>
  <property fmtid="{D5CDD505-2E9C-101B-9397-08002B2CF9AE}" pid="5" name="show_menu">
    <vt:lpwstr>true</vt:lpwstr>
  </property>
  <property fmtid="{D5CDD505-2E9C-101B-9397-08002B2CF9AE}" pid="6" name="version">
    <vt:lpwstr>1.0.0</vt:lpwstr>
  </property>
  <property fmtid="{D5CDD505-2E9C-101B-9397-08002B2CF9AE}" pid="7" name="xmlname">
    <vt:lpwstr>行业标准</vt:lpwstr>
  </property>
  <property fmtid="{D5CDD505-2E9C-101B-9397-08002B2CF9AE}" pid="8" name="NSTD_CODE">
    <vt:lpwstr>GB/T-</vt:lpwstr>
  </property>
  <property fmtid="{D5CDD505-2E9C-101B-9397-08002B2CF9AE}" pid="9" name="OSTD_CODE">
    <vt:lpwstr>代替 GB/T-</vt:lpwstr>
  </property>
  <property fmtid="{D5CDD505-2E9C-101B-9397-08002B2CF9AE}" pid="10" name="flag_zhengwen">
    <vt:lpwstr>0</vt:lpwstr>
  </property>
  <property fmtid="{D5CDD505-2E9C-101B-9397-08002B2CF9AE}" pid="11" name="flag_fulu">
    <vt:lpwstr>0</vt:lpwstr>
  </property>
  <property fmtid="{D5CDD505-2E9C-101B-9397-08002B2CF9AE}" pid="12" name="flag_pic">
    <vt:lpwstr>false</vt:lpwstr>
  </property>
  <property fmtid="{D5CDD505-2E9C-101B-9397-08002B2CF9AE}" pid="13" name="flag_tab">
    <vt:lpwstr>false</vt:lpwstr>
  </property>
  <property fmtid="{D5CDD505-2E9C-101B-9397-08002B2CF9AE}" pid="14" name="NumList">
    <vt:lpwstr>false</vt:lpwstr>
  </property>
</Properties>
</file>