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8"/>
      </w:pPr>
      <w:r>
        <w:rPr>
          <w:rFonts w:ascii="Times New Roman"/>
        </w:rPr>
        <w:t>ICS</w:t>
      </w:r>
      <w:r>
        <w:rPr>
          <w:rFonts w:hint="eastAsia"/>
        </w:rPr>
        <w:t> </w:t>
      </w:r>
      <w:r>
        <w:rPr>
          <w:rFonts w:hint="eastAsi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点击此处添加ICS号</w:t>
      </w:r>
      <w:r>
        <w:rPr>
          <w:rFonts w:hint="eastAsia"/>
        </w:rPr>
        <w:fldChar w:fldCharType="end"/>
      </w:r>
      <w:bookmarkEnd w:id="0"/>
    </w:p>
    <w:p>
      <w:pPr>
        <w:pStyle w:val="38"/>
      </w:pPr>
      <w:r>
        <w:rPr>
          <w:rFonts w:hint="eastAsia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点击此处添加中国标准文献分类号</w:t>
      </w:r>
      <w:r>
        <w:rPr>
          <w:rFonts w:hint="eastAsia"/>
        </w:rPr>
        <w:fldChar w:fldCharType="end"/>
      </w:r>
      <w:bookmarkEnd w:id="1"/>
    </w:p>
    <w:tbl>
      <w:tblPr>
        <w:tblStyle w:val="35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8"/>
            </w:pPr>
            <w:r>
              <mc:AlternateContent>
                <mc:Choice Requires="wps">
                  <w:drawing>
                    <wp:anchor distT="0" distB="0" distL="114300" distR="114300" simplePos="0" relativeHeight="503315456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3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1024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yK4v7NUAAAAHAQAADwAAAAAAAAABACAAAAAiAAAAZHJzL2Rv&#10;d25yZXYueG1sUEsBAhQAFAAAAAgAh07iQKIx40uSAQAAFAMAAA4AAAAAAAAAAQAgAAAAJAEAAGRy&#10;cy9lMm9Eb2MueG1sUEsFBgAAAAAGAAYAWQEAACg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rPr>
                <w:rFonts w:hint="eastAsia"/>
              </w:rPr>
              <w:instrText xml:space="preserve">FORMTEXT</w:instrText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2"/>
          </w:p>
        </w:tc>
      </w:tr>
    </w:tbl>
    <w:p>
      <w:pPr>
        <w:pStyle w:val="69"/>
      </w:pPr>
      <w:r>
        <w:rPr>
          <w:rFonts w:hint="eastAsia"/>
        </w:rP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bookmarkStart w:id="3" w:name="c1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SB</w:t>
      </w:r>
      <w:r>
        <w:rPr>
          <w:rFonts w:hint="eastAsia"/>
        </w:rPr>
        <w:fldChar w:fldCharType="end"/>
      </w:r>
      <w:bookmarkEnd w:id="3"/>
    </w:p>
    <w:p>
      <w:pPr>
        <w:pStyle w:val="91"/>
      </w:pPr>
      <w:r>
        <w:rPr>
          <w:rFonts w:hint="eastAsia"/>
        </w:rPr>
        <w:t>中华人民共和国</w:t>
      </w:r>
      <w:r>
        <w:rPr>
          <w:rFonts w:hint="eastAsia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国内贸易</w:t>
      </w:r>
      <w:r>
        <w:rPr>
          <w:rFonts w:hint="eastAsia"/>
        </w:rPr>
        <w:fldChar w:fldCharType="end"/>
      </w:r>
      <w:bookmarkEnd w:id="4"/>
      <w:r>
        <w:rPr>
          <w:rFonts w:hint="eastAsia"/>
        </w:rPr>
        <w:t>行业标准</w:t>
      </w:r>
    </w:p>
    <w:p>
      <w:pPr>
        <w:pStyle w:val="97"/>
        <w:rPr>
          <w:rFonts w:ascii="Times New Roman"/>
        </w:rPr>
      </w:pPr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>
        <w:rPr>
          <w:rFonts w:ascii="Times New Roman"/>
        </w:rPr>
        <w:instrText xml:space="preserve">FORMTEXT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XX</w:t>
      </w:r>
      <w:r>
        <w:rPr>
          <w:rFonts w:ascii="Times New Roman"/>
        </w:rPr>
        <w:fldChar w:fldCharType="end"/>
      </w:r>
      <w:bookmarkEnd w:id="5"/>
      <w:r>
        <w:rPr>
          <w:rFonts w:ascii="Times New Roman"/>
        </w:rPr>
        <w:t xml:space="preserve">/T </w:t>
      </w:r>
      <w:r>
        <w:rPr>
          <w:rFonts w:ascii="Times New Roman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>
        <w:rPr>
          <w:rFonts w:ascii="Times New Roman"/>
        </w:rPr>
        <w:instrText xml:space="preserve">FORMTEXT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XXXXX</w:t>
      </w:r>
      <w:r>
        <w:rPr>
          <w:rFonts w:ascii="Times New Roman"/>
        </w:rPr>
        <w:fldChar w:fldCharType="end"/>
      </w:r>
      <w:bookmarkEnd w:id="6"/>
      <w:r>
        <w:rPr>
          <w:rFonts w:hint="eastAsia" w:ascii="Times New Roman"/>
        </w:rPr>
        <w:t>—</w:t>
      </w:r>
      <w:r>
        <w:rPr>
          <w:rFonts w:hint="eastAsia" w:ascii="Times New Roman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>
        <w:rPr>
          <w:rFonts w:hint="eastAsia" w:ascii="Times New Roman"/>
        </w:rPr>
        <w:instrText xml:space="preserve">FORMTEXT</w:instrText>
      </w:r>
      <w:r>
        <w:rPr>
          <w:rFonts w:hint="eastAsia" w:ascii="Times New Roman"/>
        </w:rPr>
        <w:fldChar w:fldCharType="separate"/>
      </w:r>
      <w:r>
        <w:rPr>
          <w:rFonts w:hint="eastAsia" w:ascii="Times New Roman"/>
        </w:rPr>
        <w:t>XXXX</w:t>
      </w:r>
      <w:r>
        <w:rPr>
          <w:rFonts w:hint="eastAsia" w:ascii="Times New Roman"/>
        </w:rPr>
        <w:fldChar w:fldCharType="end"/>
      </w:r>
      <w:bookmarkEnd w:id="7"/>
    </w:p>
    <w:tbl>
      <w:tblPr>
        <w:tblStyle w:val="35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1"/>
              <w:rPr>
                <w:rFonts w:ascii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503315456" behindDoc="1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4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5pt;margin-top:2.7pt;height:18pt;width:90pt;z-index:-1024;mso-width-relative:page;mso-height-relative:page;" fillcolor="#FFFFFF" filled="t" stroked="f" coordsize="21600,21600" o:gfxdata="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SNbeLWAAAACAEAAA8AAAAAAAAAAQAgAAAAIgAAAGRycy9kb3ducmV2&#10;LnhtbFBLAQIUABQAAAAIAIdO4kAIbhTtjAEAABQDAAAOAAAAAAAAAAEAIAAAACUBAABkcnMvZTJv&#10;RG9jLnhtbFBLBQYAAAAABgAGAFkBAAAj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8" w:name="DT"/>
            <w:r>
              <w:rPr>
                <w:rFonts w:hint="eastAsia" w:ascii="Times New Roman"/>
              </w:rPr>
              <w:instrText xml:space="preserve">FORMTEXT</w:instrText>
            </w:r>
            <w:r>
              <w:rPr>
                <w:rFonts w:hint="eastAsia" w:ascii="Times New Roman"/>
              </w:rPr>
              <w:fldChar w:fldCharType="separate"/>
            </w:r>
            <w:r>
              <w:rPr>
                <w:rFonts w:ascii="Times New Roman"/>
              </w:rPr>
              <w:t>     </w:t>
            </w:r>
            <w:r>
              <w:rPr>
                <w:rFonts w:hint="eastAsia" w:ascii="Times New Roman"/>
              </w:rPr>
              <w:fldChar w:fldCharType="end"/>
            </w:r>
            <w:bookmarkEnd w:id="8"/>
          </w:p>
        </w:tc>
      </w:tr>
    </w:tbl>
    <w:p>
      <w:pPr>
        <w:pStyle w:val="97"/>
        <w:rPr>
          <w:rFonts w:ascii="Times New Roman"/>
        </w:rPr>
      </w:pPr>
    </w:p>
    <w:p>
      <w:pPr>
        <w:pStyle w:val="97"/>
        <w:rPr>
          <w:rFonts w:ascii="Times New Roman"/>
        </w:rPr>
      </w:pPr>
    </w:p>
    <w:p>
      <w:pPr>
        <w:pStyle w:val="48"/>
        <w:rPr>
          <w:rFonts w:ascii="Times New Roman"/>
        </w:rPr>
      </w:pPr>
      <w:r>
        <w:rPr>
          <w:rFonts w:hint="eastAsia" w:ascii="Times New Roman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rPr>
          <w:rFonts w:hint="eastAsia" w:ascii="Times New Roman"/>
        </w:rPr>
        <w:instrText xml:space="preserve">FORMTEXT</w:instrText>
      </w:r>
      <w:r>
        <w:rPr>
          <w:rFonts w:hint="eastAsia" w:ascii="Times New Roman"/>
        </w:rPr>
        <w:fldChar w:fldCharType="separate"/>
      </w:r>
      <w:r>
        <w:rPr>
          <w:rFonts w:hint="eastAsia" w:ascii="Times New Roman"/>
        </w:rPr>
        <w:t>公益性农产品零售市场管理规范</w:t>
      </w:r>
      <w:r>
        <w:rPr>
          <w:rFonts w:hint="eastAsia" w:ascii="Times New Roman"/>
        </w:rPr>
        <w:fldChar w:fldCharType="end"/>
      </w:r>
      <w:bookmarkEnd w:id="9"/>
    </w:p>
    <w:p>
      <w:pPr>
        <w:pStyle w:val="47"/>
      </w:pPr>
      <w:r>
        <w:rPr>
          <w:rFonts w:hint="eastAsia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0" w:name="StdEnglishName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t>Management specification of commonweal agricultural products retail market</w:t>
      </w:r>
      <w:r>
        <w:rPr>
          <w:rFonts w:hint="eastAsia"/>
        </w:rPr>
        <w:fldChar w:fldCharType="end"/>
      </w:r>
      <w:bookmarkEnd w:id="10"/>
    </w:p>
    <w:p>
      <w:pPr>
        <w:pStyle w:val="58"/>
      </w:pPr>
      <w:r>
        <w:rPr>
          <w:rFonts w:hint="eastAsia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1" w:name="YZBS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 xml:space="preserve">  </w:t>
      </w:r>
      <w:r>
        <w:rPr>
          <w:rFonts w:hint="eastAsia"/>
        </w:rPr>
        <w:fldChar w:fldCharType="end"/>
      </w:r>
      <w:bookmarkEnd w:id="11"/>
    </w:p>
    <w:tbl>
      <w:tblPr>
        <w:tblStyle w:val="3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7"/>
            </w:pPr>
            <w:r>
              <mc:AlternateContent>
                <mc:Choice Requires="wps">
                  <w:drawing>
                    <wp:anchor distT="0" distB="0" distL="114300" distR="114300" simplePos="0" relativeHeight="503315456" behindDoc="1" locked="1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12700"/>
                      <wp:wrapNone/>
                      <wp:docPr id="5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5pt;margin-top:45.15pt;height:20pt;width:150pt;z-index:-1024;mso-width-relative:page;mso-height-relative:page;" fillcolor="#FFFFFF" filled="t" stroked="f" coordsize="21600,21600" o:gfxdata="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VFyNMNYAAAAKAQAADwAAAAAAAAABACAAAAAiAAAAZHJzL2Rvd25yZXYu&#10;eG1sUEsBAhQAFAAAAAgAh07iQDVAaHOLAQAAFAMAAA4AAAAAAAAAAQAgAAAAJQEAAGRycy9lMm9E&#10;b2MueG1sUEsFBgAAAAAGAAYAWQEAACI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503315456" behindDoc="1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5pt;margin-top:20.15pt;height:24pt;width:100pt;z-index:-1024;mso-width-relative:page;mso-height-relative:page;" fillcolor="#FFFFFF" filled="t" stroked="f" coordsize="21600,21600" o:gfxdata="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gwi+h1wAAAAkBAAAPAAAAAAAAAAEAIAAAACIAAABkcnMvZG93bnJl&#10;di54bWxQSwECFAAUAAAACACHTuJAeUbCd4wBAAAUAwAADgAAAAAAAAABACAAAAAmAQAAZHJzL2Uy&#10;b0RvYy54bWxQSwUGAAAAAAYABgBZAQAAJ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rPr>
                <w:rFonts w:hint="eastAsia"/>
              </w:rPr>
              <w:instrText xml:space="preserve">FORMDROPDOWN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6"/>
            </w:pPr>
            <w:r>
              <w:rPr>
                <w:rFonts w:hint="eastAsia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3" w:name="WCRQ"/>
            <w:r>
              <w:rPr>
                <w:rFonts w:hint="eastAsia"/>
              </w:rPr>
              <w:instrText xml:space="preserve">FORMTEXT</w:instrText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13"/>
          </w:p>
        </w:tc>
      </w:tr>
    </w:tbl>
    <w:p>
      <w:pPr>
        <w:pStyle w:val="120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4" w:name="FY"/>
      <w:r>
        <w:rPr>
          <w:rFonts w:ascii="黑体"/>
        </w:rPr>
        <w:instrText xml:space="preserve">FORMTEXT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9253220</wp:posOffset>
                </wp:positionV>
                <wp:extent cx="6121400" cy="635"/>
                <wp:effectExtent l="0" t="0" r="0" b="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9pt;margin-top:728.6pt;height:0.05pt;width:482pt;mso-position-vertical-relative:page;z-index:1024;mso-width-relative:page;mso-height-relative:page;" filled="f" stroked="t" coordsize="21600,21600" o:gfxdata="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NHiyTZAAAADAEAAA8AAAAAAAAAAQAgAAAAIgAA&#10;AGRycy9kb3ducmV2LnhtbFBLAQIUABQAAAAIAIdO4kAiBGzTzgEAAJADAAAOAAAAAAAAAAEAIAAA&#10;ACg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黑体"/>
        </w:rPr>
        <w:t>-</w:t>
      </w:r>
      <w:r>
        <w:rPr>
          <w:rFonts w:hint="eastAsia"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 w:ascii="黑体"/>
        </w:rPr>
        <w:fldChar w:fldCharType="end"/>
      </w:r>
      <w:r>
        <w:rPr>
          <w:rFonts w:hint="eastAsia" w:ascii="黑体"/>
        </w:rPr>
        <w:t>-</w:t>
      </w:r>
      <w:r>
        <w:rPr>
          <w:rFonts w:hint="eastAsia"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FD"/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 w:ascii="黑体"/>
        </w:rPr>
        <w:fldChar w:fldCharType="end"/>
      </w:r>
      <w:bookmarkEnd w:id="15"/>
      <w:r>
        <w:rPr>
          <w:rFonts w:hint="eastAsia"/>
        </w:rPr>
        <w:t>发布</w:t>
      </w:r>
    </w:p>
    <w:p>
      <w:pPr>
        <w:pStyle w:val="96"/>
      </w:pPr>
      <w:r>
        <w:rPr>
          <w:rFonts w:hint="eastAsia"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6" w:name="SY"/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XXXX</w:t>
      </w:r>
      <w:r>
        <w:rPr>
          <w:rFonts w:hint="eastAsia" w:ascii="黑体"/>
        </w:rPr>
        <w:fldChar w:fldCharType="end"/>
      </w:r>
      <w:bookmarkEnd w:id="16"/>
      <w:r>
        <w:rPr>
          <w:rFonts w:hint="eastAsia" w:ascii="黑体"/>
        </w:rPr>
        <w:t>-</w:t>
      </w:r>
      <w:r>
        <w:rPr>
          <w:rFonts w:hint="eastAsia"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7" w:name="SM"/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 w:ascii="黑体"/>
        </w:rPr>
        <w:fldChar w:fldCharType="end"/>
      </w:r>
      <w:bookmarkEnd w:id="17"/>
      <w:r>
        <w:rPr>
          <w:rFonts w:hint="eastAsia" w:ascii="黑体"/>
        </w:rPr>
        <w:t>-</w:t>
      </w:r>
      <w:r>
        <w:rPr>
          <w:rFonts w:hint="eastAsia"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SD"/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85"/>
      </w:pPr>
      <w:r>
        <w:rPr>
          <w:rFonts w:hint="eastAsia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9" w:name="fm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中华人民共和国商务部</w:t>
      </w:r>
      <w:r>
        <w:rPr>
          <w:rFonts w:hint="eastAsia"/>
        </w:rPr>
        <w:fldChar w:fldCharType="end"/>
      </w:r>
      <w:bookmarkEnd w:id="19"/>
      <w:r>
        <w:rPr>
          <w:rFonts w:hint="eastAsia"/>
        </w:rPr>
        <w:t>   </w:t>
      </w:r>
      <w:r>
        <w:rPr>
          <w:rStyle w:val="129"/>
          <w:rFonts w:hint="eastAsia"/>
        </w:rPr>
        <w:t>发布</w:t>
      </w:r>
    </w:p>
    <w:p>
      <w:pPr>
        <w:pStyle w:val="2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1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2332355</wp:posOffset>
                </wp:positionV>
                <wp:extent cx="6121400" cy="635"/>
                <wp:effectExtent l="0" t="0" r="0" b="0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9pt;margin-top:183.65pt;height:0.05pt;width:482pt;z-index:1024;mso-width-relative:page;mso-height-relative:page;" filled="f" stroked="t" coordsize="21600,21600" o:gfxdata="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Ok+fG2AAAAAoBAAAPAAAAAAAAAAEAIAAAACIAAABk&#10;cnMvZG93bnJldi54bWxQSwECFAAUAAAACACHTuJAoVvEcc0BAACQ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9"/>
        <w:rPr>
          <w:color w:val="auto"/>
        </w:rPr>
      </w:pPr>
      <w:r>
        <w:rPr>
          <w:rFonts w:hint="eastAsia"/>
          <w:color w:val="auto"/>
        </w:rPr>
        <w:t>前</w:t>
      </w:r>
      <w:bookmarkStart w:id="20" w:name="BKQY"/>
      <w:r>
        <w:rPr>
          <w:rFonts w:hint="eastAsia"/>
          <w:color w:val="auto"/>
        </w:rPr>
        <w:t>  言</w:t>
      </w:r>
      <w:bookmarkEnd w:id="20"/>
    </w:p>
    <w:p>
      <w:pPr>
        <w:pStyle w:val="20"/>
        <w:rPr>
          <w:color w:val="auto"/>
        </w:rPr>
      </w:pPr>
    </w:p>
    <w:p>
      <w:pPr>
        <w:pStyle w:val="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本标准根据GB/T1.1-2009给出的规则起草。</w:t>
      </w:r>
    </w:p>
    <w:p>
      <w:pPr>
        <w:pStyle w:val="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本标准由全国农产品购销标准化技术委员会(SAC/TC517)提出并归口。</w:t>
      </w:r>
    </w:p>
    <w:p>
      <w:pPr>
        <w:pStyle w:val="20"/>
        <w:rPr>
          <w:rFonts w:hint="eastAsia" w:ascii="Times New Roman" w:eastAsia="宋体"/>
          <w:color w:val="auto"/>
          <w:lang w:eastAsia="zh-CN"/>
        </w:rPr>
      </w:pPr>
      <w:r>
        <w:rPr>
          <w:rFonts w:hint="eastAsia" w:ascii="Times New Roman"/>
          <w:color w:val="auto"/>
        </w:rPr>
        <w:t>本标准起草单位：</w:t>
      </w:r>
      <w:r>
        <w:rPr>
          <w:rFonts w:hint="eastAsia" w:ascii="Times New Roman"/>
          <w:color w:val="auto"/>
          <w:lang w:eastAsia="zh-CN"/>
        </w:rPr>
        <w:t>全国城市农贸中心联合会、浙江大学城市学院</w:t>
      </w:r>
    </w:p>
    <w:p>
      <w:pPr>
        <w:pStyle w:val="20"/>
        <w:rPr>
          <w:rFonts w:hint="eastAsia" w:eastAsia="宋体"/>
          <w:color w:val="auto"/>
          <w:lang w:eastAsia="zh-CN"/>
        </w:rPr>
        <w:sectPr>
          <w:headerReference r:id="rId9" w:type="default"/>
          <w:footerReference r:id="rId10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 w:ascii="Times New Roman"/>
          <w:color w:val="auto"/>
        </w:rPr>
        <w:t>本标准主要起草人：</w:t>
      </w:r>
      <w:r>
        <w:rPr>
          <w:rFonts w:hint="eastAsia"/>
          <w:color w:val="auto"/>
          <w:lang w:eastAsia="zh-CN"/>
        </w:rPr>
        <w:t>马增俊、纳绍平、鲍立威、王菲、夏晓楠</w:t>
      </w:r>
    </w:p>
    <w:p>
      <w:pPr>
        <w:pStyle w:val="20"/>
        <w:ind w:firstLine="0" w:firstLineChars="0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公益性农产品零售市场管理规范</w:t>
      </w:r>
    </w:p>
    <w:p>
      <w:pPr>
        <w:pStyle w:val="50"/>
        <w:spacing w:before="312" w:after="312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范围</w:t>
      </w:r>
    </w:p>
    <w:p>
      <w:pPr>
        <w:pStyle w:val="2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本标准规定了公益性农产品零售市场</w:t>
      </w:r>
      <w:r>
        <w:rPr>
          <w:rFonts w:hint="eastAsia"/>
          <w:color w:val="auto"/>
          <w:szCs w:val="21"/>
          <w:lang w:eastAsia="zh-CN"/>
        </w:rPr>
        <w:t>主要功能</w:t>
      </w:r>
      <w:r>
        <w:rPr>
          <w:rFonts w:hint="eastAsia"/>
          <w:color w:val="auto"/>
          <w:lang w:eastAsia="zh-CN"/>
        </w:rPr>
        <w:t>、基本要求、市场管理、公共服务设施、监督管理、人员</w:t>
      </w:r>
      <w:r>
        <w:rPr>
          <w:rFonts w:hint="eastAsia"/>
          <w:color w:val="auto"/>
        </w:rPr>
        <w:t>管理</w:t>
      </w:r>
      <w:r>
        <w:rPr>
          <w:rFonts w:hint="eastAsia"/>
          <w:color w:val="auto"/>
          <w:lang w:eastAsia="zh-CN"/>
        </w:rPr>
        <w:t>等</w:t>
      </w:r>
      <w:r>
        <w:rPr>
          <w:rFonts w:hint="eastAsia"/>
          <w:color w:val="auto"/>
        </w:rPr>
        <w:t>要求。</w:t>
      </w:r>
    </w:p>
    <w:p>
      <w:pPr>
        <w:pStyle w:val="20"/>
        <w:rPr>
          <w:color w:val="auto"/>
          <w:szCs w:val="21"/>
        </w:rPr>
      </w:pPr>
      <w:r>
        <w:rPr>
          <w:rFonts w:hint="eastAsia"/>
          <w:color w:val="auto"/>
        </w:rPr>
        <w:t>本标准适用于</w:t>
      </w:r>
      <w:r>
        <w:rPr>
          <w:rFonts w:hint="eastAsia"/>
          <w:color w:val="auto"/>
          <w:lang w:eastAsia="zh-CN"/>
        </w:rPr>
        <w:t>规范</w:t>
      </w:r>
      <w:r>
        <w:rPr>
          <w:rFonts w:hint="eastAsia"/>
          <w:color w:val="auto"/>
        </w:rPr>
        <w:t>公益性农产品</w:t>
      </w:r>
      <w:r>
        <w:rPr>
          <w:rFonts w:hint="eastAsia"/>
          <w:color w:val="auto"/>
          <w:lang w:eastAsia="zh-CN"/>
        </w:rPr>
        <w:t>零售</w:t>
      </w:r>
      <w:r>
        <w:rPr>
          <w:rFonts w:hint="eastAsia"/>
          <w:color w:val="auto"/>
        </w:rPr>
        <w:t>市场的经营管理</w:t>
      </w:r>
      <w:r>
        <w:rPr>
          <w:rFonts w:hint="eastAsia"/>
          <w:color w:val="auto"/>
          <w:lang w:eastAsia="zh-CN"/>
        </w:rPr>
        <w:t>及其公益性功能的保障与发挥</w:t>
      </w:r>
      <w:r>
        <w:rPr>
          <w:rFonts w:hint="eastAsia"/>
          <w:color w:val="auto"/>
        </w:rPr>
        <w:t>。</w:t>
      </w:r>
    </w:p>
    <w:p>
      <w:pPr>
        <w:pStyle w:val="50"/>
        <w:spacing w:before="312" w:after="312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规范性引用文件</w:t>
      </w:r>
    </w:p>
    <w:p>
      <w:pPr>
        <w:pStyle w:val="2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GB 2762 食品安全国家标准 食品中污染物限量</w:t>
      </w:r>
    </w:p>
    <w:p>
      <w:pPr>
        <w:pStyle w:val="20"/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1"/>
        </w:rPr>
        <w:t>GB 2763 食品安全国家标准 食品中农药最大残留限量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GB 8978 污水综合排放标准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GB/T 19221 农副产品绿色零售市场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GB/T 21720 农贸市场管理技术规范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SB/T 10335 连锁超级市场、便利店管理通用要求 门店管理规范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SB/T 11065 农产品市场突发事件应急供应管理规范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SB/T 11066 农产品市场交易行为规范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商务部等13部门《关于进一步加强农产品市场体系建设的指导意见》（商建发[2014]60号）</w:t>
      </w:r>
    </w:p>
    <w:p>
      <w:pPr>
        <w:pStyle w:val="2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商务部等12部门《关于加强公益性农产品市场体系建设的指导意见》（商建函[2016]146号）</w:t>
      </w:r>
    </w:p>
    <w:p>
      <w:pPr>
        <w:pStyle w:val="20"/>
        <w:rPr>
          <w:color w:val="auto"/>
          <w:szCs w:val="21"/>
        </w:rPr>
      </w:pPr>
    </w:p>
    <w:p>
      <w:pPr>
        <w:pStyle w:val="50"/>
        <w:spacing w:before="312" w:after="312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术语和定义</w:t>
      </w:r>
    </w:p>
    <w:p>
      <w:pPr>
        <w:pStyle w:val="41"/>
        <w:numPr>
          <w:ilvl w:val="1"/>
          <w:numId w:val="0"/>
        </w:numPr>
        <w:spacing w:before="156" w:after="156"/>
        <w:ind w:leftChars="0"/>
        <w:rPr>
          <w:color w:val="FF0000"/>
        </w:rPr>
      </w:pPr>
      <w:r>
        <w:rPr>
          <w:rFonts w:hint="eastAsia"/>
          <w:color w:val="auto"/>
          <w:lang w:val="en-US" w:eastAsia="zh-CN"/>
        </w:rPr>
        <w:t>3.1</w:t>
      </w:r>
      <w:r>
        <w:rPr>
          <w:rFonts w:hint="eastAsia"/>
          <w:color w:val="auto"/>
        </w:rPr>
        <w:t xml:space="preserve">公益性农产品零售市场  </w:t>
      </w:r>
    </w:p>
    <w:p>
      <w:pPr>
        <w:pStyle w:val="41"/>
        <w:numPr>
          <w:ilvl w:val="1"/>
          <w:numId w:val="0"/>
        </w:numPr>
        <w:spacing w:before="156" w:after="156"/>
        <w:ind w:firstLine="420" w:firstLineChars="200"/>
        <w:rPr>
          <w:rFonts w:hint="eastAsia" w:ascii="宋体" w:eastAsia="宋体"/>
          <w:color w:val="auto"/>
        </w:rPr>
      </w:pPr>
      <w:r>
        <w:rPr>
          <w:rFonts w:hint="eastAsia" w:ascii="宋体" w:eastAsia="宋体"/>
          <w:color w:val="auto"/>
        </w:rPr>
        <w:t>政府有较强控制力，以</w:t>
      </w:r>
      <w:r>
        <w:rPr>
          <w:rFonts w:hint="eastAsia" w:ascii="宋体" w:eastAsia="宋体"/>
          <w:color w:val="auto"/>
          <w:lang w:eastAsia="zh-CN"/>
        </w:rPr>
        <w:t>政府</w:t>
      </w:r>
      <w:r>
        <w:rPr>
          <w:rFonts w:hint="eastAsia" w:ascii="宋体" w:eastAsia="宋体"/>
          <w:color w:val="auto"/>
        </w:rPr>
        <w:t>股权投入或其他扶持方式参与建设和改造,或通过购买企业公益功能服务，提供平价或微利公共服务、满足社会公共利益要求的农产品零售市场。</w:t>
      </w:r>
    </w:p>
    <w:p>
      <w:pPr>
        <w:pStyle w:val="20"/>
        <w:ind w:left="0" w:leftChars="0" w:firstLine="0" w:firstLineChars="0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 xml:space="preserve">3.2　市场综合收费 </w:t>
      </w:r>
    </w:p>
    <w:p>
      <w:pPr>
        <w:pStyle w:val="20"/>
        <w:rPr>
          <w:rFonts w:hint="eastAsia" w:eastAsia="宋体"/>
          <w:lang w:val="en-US" w:eastAsia="zh-CN"/>
        </w:rPr>
      </w:pPr>
      <w:r>
        <w:rPr>
          <w:rFonts w:hint="eastAsia"/>
          <w:color w:val="auto"/>
          <w:lang w:val="en-US" w:eastAsia="zh-CN"/>
        </w:rPr>
        <w:t>为保证市场日常运行向市场交易者收取的费用，涵盖市场资产、服务、收益各类费用的总和，包含但不限于进门费、摊位费、物业费、仓储费、交易佣金、管理费等。</w:t>
      </w:r>
    </w:p>
    <w:p>
      <w:pPr>
        <w:pStyle w:val="20"/>
      </w:pPr>
    </w:p>
    <w:p>
      <w:pPr>
        <w:pStyle w:val="50"/>
        <w:spacing w:before="312" w:after="312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  <w:lang w:eastAsia="zh-CN"/>
        </w:rPr>
        <w:t>主要功能</w:t>
      </w:r>
    </w:p>
    <w:p>
      <w:pPr>
        <w:pStyle w:val="41"/>
        <w:numPr>
          <w:ilvl w:val="1"/>
          <w:numId w:val="0"/>
        </w:numPr>
        <w:spacing w:before="156" w:after="156"/>
        <w:ind w:leftChars="0"/>
        <w:rPr>
          <w:color w:val="FF0000"/>
        </w:rPr>
      </w:pPr>
      <w:r>
        <w:rPr>
          <w:rFonts w:hint="eastAsia"/>
          <w:color w:val="auto"/>
          <w:lang w:val="en-US" w:eastAsia="zh-CN"/>
        </w:rPr>
        <w:t xml:space="preserve">4.1 </w:t>
      </w:r>
      <w:r>
        <w:rPr>
          <w:rFonts w:hint="eastAsia"/>
          <w:color w:val="auto"/>
        </w:rPr>
        <w:t>保障市场供应</w:t>
      </w:r>
    </w:p>
    <w:p>
      <w:pPr>
        <w:pStyle w:val="20"/>
        <w:rPr>
          <w:color w:val="auto"/>
          <w:szCs w:val="21"/>
        </w:rPr>
      </w:pPr>
      <w:r>
        <w:rPr>
          <w:rFonts w:hint="eastAsia"/>
          <w:color w:val="auto"/>
          <w:szCs w:val="22"/>
        </w:rPr>
        <w:t>通过</w:t>
      </w:r>
      <w:r>
        <w:rPr>
          <w:rFonts w:hint="eastAsia"/>
          <w:color w:val="auto"/>
          <w:szCs w:val="22"/>
          <w:lang w:eastAsia="zh-CN"/>
        </w:rPr>
        <w:t>建立常态化</w:t>
      </w:r>
      <w:r>
        <w:rPr>
          <w:rFonts w:hint="eastAsia"/>
          <w:color w:val="auto"/>
          <w:szCs w:val="22"/>
        </w:rPr>
        <w:t>产销衔接</w:t>
      </w:r>
      <w:r>
        <w:rPr>
          <w:rFonts w:hint="eastAsia"/>
          <w:color w:val="auto"/>
          <w:szCs w:val="22"/>
          <w:lang w:eastAsia="zh-CN"/>
        </w:rPr>
        <w:t>机制</w:t>
      </w:r>
      <w:r>
        <w:rPr>
          <w:rFonts w:hint="eastAsia"/>
          <w:color w:val="auto"/>
          <w:szCs w:val="22"/>
        </w:rPr>
        <w:t>、应急储备等方式提高货源组织能力、增强货源稳定性，提供符合质</w:t>
      </w:r>
      <w:r>
        <w:rPr>
          <w:rFonts w:hint="eastAsia"/>
          <w:color w:val="auto"/>
          <w:szCs w:val="21"/>
        </w:rPr>
        <w:t>量安全要求的农产品。</w:t>
      </w:r>
    </w:p>
    <w:p>
      <w:pPr>
        <w:pStyle w:val="41"/>
        <w:numPr>
          <w:ilvl w:val="1"/>
          <w:numId w:val="0"/>
        </w:numPr>
        <w:spacing w:before="156" w:after="156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4.2 </w:t>
      </w:r>
      <w:r>
        <w:rPr>
          <w:rFonts w:hint="eastAsia"/>
          <w:color w:val="auto"/>
        </w:rPr>
        <w:t>稳定市场价格</w:t>
      </w:r>
    </w:p>
    <w:p>
      <w:pPr>
        <w:pStyle w:val="20"/>
        <w:rPr>
          <w:color w:val="auto"/>
          <w:szCs w:val="21"/>
          <w:highlight w:val="yellow"/>
        </w:rPr>
      </w:pPr>
      <w:r>
        <w:rPr>
          <w:rFonts w:hint="eastAsia"/>
          <w:color w:val="auto"/>
          <w:szCs w:val="21"/>
        </w:rPr>
        <w:t>通过价格监测、预警、减免费用、增加供给等手段</w:t>
      </w:r>
      <w:r>
        <w:rPr>
          <w:rFonts w:hint="eastAsia"/>
          <w:color w:val="auto"/>
          <w:szCs w:val="21"/>
          <w:lang w:eastAsia="zh-CN"/>
        </w:rPr>
        <w:t>平抑</w:t>
      </w:r>
      <w:r>
        <w:rPr>
          <w:rFonts w:hint="eastAsia"/>
          <w:color w:val="auto"/>
          <w:szCs w:val="21"/>
        </w:rPr>
        <w:t>价格</w:t>
      </w:r>
      <w:r>
        <w:rPr>
          <w:rFonts w:hint="eastAsia"/>
          <w:color w:val="auto"/>
          <w:szCs w:val="21"/>
          <w:lang w:eastAsia="zh-CN"/>
        </w:rPr>
        <w:t>异常波动</w:t>
      </w:r>
      <w:r>
        <w:rPr>
          <w:rFonts w:hint="eastAsia"/>
          <w:color w:val="auto"/>
          <w:szCs w:val="21"/>
        </w:rPr>
        <w:t>。</w:t>
      </w:r>
    </w:p>
    <w:p>
      <w:pPr>
        <w:pStyle w:val="41"/>
        <w:numPr>
          <w:ilvl w:val="1"/>
          <w:numId w:val="0"/>
        </w:numPr>
        <w:spacing w:before="156" w:after="156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4.3 </w:t>
      </w:r>
      <w:r>
        <w:rPr>
          <w:rFonts w:hint="eastAsia"/>
          <w:color w:val="auto"/>
        </w:rPr>
        <w:t xml:space="preserve">促进食品安全  </w:t>
      </w:r>
    </w:p>
    <w:p>
      <w:pPr>
        <w:pStyle w:val="2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通过建立索证索票、追溯制度、检验检测等方式，严把农产品入市关来促进农产品质量安全。</w:t>
      </w:r>
    </w:p>
    <w:p>
      <w:pPr>
        <w:pStyle w:val="41"/>
        <w:numPr>
          <w:ilvl w:val="1"/>
          <w:numId w:val="0"/>
        </w:numPr>
        <w:spacing w:before="156" w:after="156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4.4 </w:t>
      </w:r>
      <w:r>
        <w:rPr>
          <w:rFonts w:hint="eastAsia"/>
          <w:color w:val="auto"/>
        </w:rPr>
        <w:t>推动绿色环保</w:t>
      </w:r>
    </w:p>
    <w:p>
      <w:pPr>
        <w:pStyle w:val="50"/>
        <w:numPr>
          <w:ilvl w:val="0"/>
          <w:numId w:val="0"/>
        </w:numPr>
        <w:spacing w:before="312" w:after="312"/>
        <w:ind w:firstLine="420" w:firstLineChars="200"/>
        <w:rPr>
          <w:rFonts w:ascii="宋体" w:eastAsia="宋体"/>
          <w:color w:val="auto"/>
          <w:szCs w:val="21"/>
        </w:rPr>
      </w:pPr>
      <w:r>
        <w:rPr>
          <w:rFonts w:hint="eastAsia" w:ascii="宋体" w:eastAsia="宋体"/>
          <w:color w:val="auto"/>
          <w:szCs w:val="21"/>
        </w:rPr>
        <w:t>通过完善废水、垃圾处理和节能环保等设施，提高节能环保水平，推广农产品冷链物流，推动绿色流通和环境保护。</w:t>
      </w:r>
    </w:p>
    <w:p>
      <w:pPr>
        <w:pStyle w:val="50"/>
        <w:spacing w:before="312" w:after="312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基本要求</w:t>
      </w:r>
    </w:p>
    <w:p>
      <w:pPr>
        <w:pStyle w:val="41"/>
        <w:spacing w:before="156" w:after="156"/>
      </w:pPr>
      <w:r>
        <w:rPr>
          <w:rFonts w:hint="eastAsia" w:ascii="宋体" w:hAnsi="宋体" w:eastAsia="宋体" w:cs="宋体"/>
          <w:color w:val="auto"/>
          <w:lang w:eastAsia="zh-CN"/>
        </w:rPr>
        <w:t>市场选址应符合当地城市建设及商业网点规划。</w:t>
      </w:r>
    </w:p>
    <w:p>
      <w:pPr>
        <w:pStyle w:val="41"/>
        <w:spacing w:before="156" w:after="156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经营场地环境、设施设备、商品质量与管理、市场管理、市场信用管理、服务管理、人员及职责管理等基本的市场管理方面应遵循GB/T 19221、GB/T 21720</w:t>
      </w:r>
      <w:r>
        <w:rPr>
          <w:rFonts w:hint="eastAsia" w:ascii="宋体" w:hAnsi="宋体" w:eastAsia="宋体" w:cs="宋体"/>
          <w:color w:val="auto"/>
          <w:lang w:eastAsia="zh-CN"/>
        </w:rPr>
        <w:t>和</w:t>
      </w:r>
      <w:r>
        <w:rPr>
          <w:rFonts w:hint="eastAsia" w:ascii="宋体" w:hAnsi="宋体" w:eastAsia="宋体" w:cs="宋体"/>
          <w:color w:val="auto"/>
        </w:rPr>
        <w:t>SB/T 10335的要求。</w:t>
      </w:r>
    </w:p>
    <w:p>
      <w:pPr>
        <w:pStyle w:val="41"/>
        <w:spacing w:before="156" w:after="156"/>
        <w:rPr>
          <w:highlight w:val="none"/>
        </w:rPr>
      </w:pPr>
      <w:r>
        <w:rPr>
          <w:rFonts w:hint="eastAsia" w:ascii="宋体" w:hAnsi="宋体" w:eastAsia="宋体" w:cs="宋体"/>
          <w:color w:val="auto"/>
        </w:rPr>
        <w:t>政府对市场具有较强控制力，可通过政府全额投资、建设和管理，或政府参与投资、委托第三方机</w:t>
      </w:r>
      <w:r>
        <w:rPr>
          <w:rFonts w:hint="eastAsia" w:ascii="宋体" w:hAnsi="宋体" w:eastAsia="宋体" w:cs="宋体"/>
          <w:color w:val="auto"/>
          <w:highlight w:val="none"/>
        </w:rPr>
        <w:t>构参与管理，或企业与政府签订协议并按政府要求发挥公益功能</w:t>
      </w: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,或政府以其他扶持方式参与建设改造</w:t>
      </w:r>
      <w:r>
        <w:rPr>
          <w:rFonts w:hint="eastAsia" w:ascii="宋体" w:hAnsi="宋体" w:eastAsia="宋体" w:cs="宋体"/>
          <w:color w:val="auto"/>
          <w:highlight w:val="none"/>
        </w:rPr>
        <w:t>等方式实现。</w:t>
      </w:r>
    </w:p>
    <w:p>
      <w:pPr>
        <w:pStyle w:val="50"/>
        <w:spacing w:before="312" w:after="312"/>
        <w:rPr>
          <w:b/>
          <w:bCs/>
        </w:rPr>
      </w:pPr>
      <w:r>
        <w:rPr>
          <w:rFonts w:hint="eastAsia"/>
          <w:b/>
          <w:bCs/>
          <w:color w:val="auto"/>
          <w:szCs w:val="21"/>
          <w:lang w:eastAsia="zh-CN"/>
        </w:rPr>
        <w:t>市场管理</w:t>
      </w:r>
      <w:bookmarkStart w:id="22" w:name="_GoBack"/>
      <w:bookmarkEnd w:id="22"/>
    </w:p>
    <w:p>
      <w:pPr>
        <w:pStyle w:val="41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稳定价格</w:t>
      </w:r>
    </w:p>
    <w:p>
      <w:pPr>
        <w:pStyle w:val="54"/>
        <w:ind w:left="0" w:leftChars="0" w:hanging="7" w:firstLineChars="0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市场日常销售不少于10种平价农产品，价格比同区域平均零售价格低10%以上。 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6.1.1.1本地区物价主管部门进行相关农产品价格监测时，市场平均零售价格以本地区物价主管部门监测数据为准。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6.1.1.2本地区物价主管部门没有进行相关农产品价格监测时，可采用现场采集数据的方式对本地区的平均零售价格进行估算。采集的数据应不少于两家同类型零售市场，每个市场采集的样本不少于3个，取其平均值即为该农产品本地区的平均零售价格。区域范围内没有参照对象的，可跨区域进行数据采集，一般与距离半径在10公里范围内的同类型零售市场进行比较。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6.1.1.3平价农产品的品种需结合当地“菜篮子”市长负责制的有关要求，由市场根据经营情况确定。</w:t>
      </w:r>
    </w:p>
    <w:p>
      <w:pPr>
        <w:pStyle w:val="41"/>
        <w:numPr>
          <w:ilvl w:val="1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6.1.2</w:t>
      </w:r>
      <w:r>
        <w:rPr>
          <w:rFonts w:hint="eastAsia" w:ascii="宋体" w:hAnsi="宋体" w:eastAsia="宋体" w:cs="宋体"/>
          <w:color w:val="auto"/>
        </w:rPr>
        <w:t>应搭建价格发布平台，对价格实施监测，建立预警机制。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对重要农产品价格进行日常监测与分析，建立农产品市场供求信息传导机制。</w:t>
      </w:r>
    </w:p>
    <w:p>
      <w:pPr>
        <w:pStyle w:val="41"/>
        <w:numPr>
          <w:ilvl w:val="1"/>
          <w:numId w:val="0"/>
        </w:numPr>
        <w:spacing w:before="156" w:after="156"/>
        <w:ind w:left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6.1.3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通过减免费用、组织货源等手段，实现平抑市场价格功能。</w:t>
      </w:r>
      <w:r>
        <w:rPr>
          <w:rFonts w:hint="eastAsia" w:ascii="宋体" w:hAnsi="宋体" w:eastAsia="宋体" w:cs="宋体"/>
          <w:color w:val="auto"/>
          <w:lang w:val="en-US" w:eastAsia="zh-CN"/>
        </w:rPr>
        <w:t>鼓励市场设立平价专柜或专区，减免专柜租金。</w:t>
      </w:r>
    </w:p>
    <w:p>
      <w:pPr>
        <w:pStyle w:val="54"/>
        <w:numPr>
          <w:ilvl w:val="2"/>
          <w:numId w:val="0"/>
        </w:numPr>
        <w:spacing w:before="156" w:after="156"/>
        <w:ind w:left="-7" w:left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6.1.4</w:t>
      </w:r>
      <w:r>
        <w:rPr>
          <w:rFonts w:hint="eastAsia" w:ascii="宋体" w:hAnsi="宋体" w:eastAsia="宋体" w:cs="宋体"/>
          <w:color w:val="auto"/>
        </w:rPr>
        <w:t>鼓励市场采取微利或零利润销售方式打造平价农产品自有品牌。</w:t>
      </w:r>
    </w:p>
    <w:p>
      <w:pPr>
        <w:pStyle w:val="20"/>
        <w:ind w:left="0" w:leftChars="0" w:firstLine="0" w:firstLineChars="0"/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>6.2 稳定产销渠道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6.2.1 应建立常态化产销对接机制，与生产基地或经销商签订产销衔接协议，保障市场供应。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6.2.2 鼓励与公益性农产品批发市场、物流配送中心、电商企业结合，保障市场稳定和充足的供应。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6.2.3 鼓励农商互联，建立多元化的供应渠道（如农批零对接、电子商务、自建渠道体系等）。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6.2.4 与公益性农产品批发市建立场密切的供需衔接关系，建立有效的传导机制。</w:t>
      </w:r>
    </w:p>
    <w:p>
      <w:pPr>
        <w:pStyle w:val="41"/>
        <w:numPr>
          <w:ilvl w:val="1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6.3 食品安全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6.3.1市场销售的农产品应符合GB 2762和GB 2763的要求，或经国家认可的认证机构认证的产品。</w:t>
      </w:r>
    </w:p>
    <w:p>
      <w:pPr>
        <w:pStyle w:val="54"/>
        <w:numPr>
          <w:ilvl w:val="2"/>
          <w:numId w:val="0"/>
        </w:numPr>
        <w:spacing w:before="156" w:after="156"/>
        <w:ind w:leftChars="0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2"/>
          <w:lang w:val="en-US" w:eastAsia="zh-CN" w:bidi="ar-SA"/>
        </w:rPr>
        <w:t>6.3.2应建</w:t>
      </w:r>
      <w:r>
        <w:rPr>
          <w:rFonts w:hint="eastAsia" w:asciiTheme="minorEastAsia" w:hAnsiTheme="minorEastAsia" w:eastAsiaTheme="minorEastAsia" w:cstheme="minorEastAsia"/>
          <w:color w:val="auto"/>
        </w:rPr>
        <w:t>立农产品质量安全监督管理制度和管理信息系统，对入市交易的商品索票、索证，对主要的</w:t>
      </w:r>
      <w:bookmarkStart w:id="21" w:name="OLE_LINK1"/>
      <w:r>
        <w:rPr>
          <w:rFonts w:hint="eastAsia" w:asciiTheme="minorEastAsia" w:hAnsiTheme="minorEastAsia" w:eastAsiaTheme="minorEastAsia" w:cstheme="minorEastAsia"/>
          <w:color w:val="auto"/>
        </w:rPr>
        <w:t>交易商品建立档案，档案应至少保存6个月</w:t>
      </w:r>
      <w:bookmarkEnd w:id="21"/>
      <w:r>
        <w:rPr>
          <w:rFonts w:hint="eastAsia" w:asciiTheme="minorEastAsia" w:hAnsiTheme="minorEastAsia" w:eastAsiaTheme="minorEastAsia" w:cstheme="minorEastAsia"/>
          <w:color w:val="auto"/>
        </w:rPr>
        <w:t>。</w:t>
      </w:r>
    </w:p>
    <w:p>
      <w:pPr>
        <w:pStyle w:val="54"/>
        <w:numPr>
          <w:ilvl w:val="2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6.3.3</w:t>
      </w:r>
      <w:r>
        <w:rPr>
          <w:rFonts w:hint="eastAsia" w:asciiTheme="minorEastAsia" w:hAnsiTheme="minorEastAsia" w:eastAsiaTheme="minorEastAsia" w:cstheme="minorEastAsia"/>
          <w:color w:val="auto"/>
        </w:rPr>
        <w:t>应建立农产品质量抽检制度，对场内交易的农产品质量安全进行抽检。</w:t>
      </w:r>
    </w:p>
    <w:p>
      <w:pPr>
        <w:pStyle w:val="54"/>
        <w:numPr>
          <w:ilvl w:val="2"/>
          <w:numId w:val="0"/>
        </w:numPr>
        <w:spacing w:before="156" w:after="156"/>
        <w:ind w:leftChars="0"/>
        <w:rPr>
          <w:rFonts w:hint="eastAsia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6.4.4</w:t>
      </w: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应具备快速检测能力，可采购具备资质的第三方检验检测机构的检测服务。</w:t>
      </w:r>
    </w:p>
    <w:p>
      <w:pPr>
        <w:pStyle w:val="54"/>
        <w:numPr>
          <w:ilvl w:val="2"/>
          <w:numId w:val="0"/>
        </w:numPr>
        <w:spacing w:before="156" w:after="156"/>
        <w:ind w:leftChars="0"/>
        <w:rPr>
          <w:rFonts w:hint="eastAsia" w:ascii="宋体" w:hAnsi="宋体" w:eastAsia="宋体" w:cs="宋体"/>
          <w:color w:val="auto"/>
          <w:szCs w:val="22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2"/>
          <w:lang w:val="en-US" w:eastAsia="zh-CN"/>
        </w:rPr>
        <w:t>6.4.5</w:t>
      </w:r>
      <w:r>
        <w:rPr>
          <w:rFonts w:hint="eastAsia" w:asciiTheme="minorEastAsia" w:hAnsiTheme="minorEastAsia" w:eastAsiaTheme="minorEastAsia" w:cstheme="minorEastAsia"/>
          <w:color w:val="auto"/>
          <w:szCs w:val="22"/>
        </w:rPr>
        <w:t>市场应通过农产品编码标识等手段建立贯穿农产</w:t>
      </w:r>
      <w:r>
        <w:rPr>
          <w:rFonts w:hint="eastAsia" w:ascii="宋体" w:hAnsi="宋体" w:eastAsia="宋体" w:cs="宋体"/>
          <w:color w:val="auto"/>
          <w:szCs w:val="22"/>
        </w:rPr>
        <w:t>品流通各环节的追溯体系。</w:t>
      </w:r>
    </w:p>
    <w:p>
      <w:pPr>
        <w:pStyle w:val="20"/>
        <w:ind w:left="0" w:leftChars="0" w:firstLine="0" w:firstLineChars="0"/>
        <w:rPr>
          <w:rFonts w:hint="eastAsia" w:ascii="黑体" w:hAnsi="黑体" w:eastAsia="黑体" w:cs="黑体"/>
          <w:color w:val="auto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6.4 绿色环保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6.4.1</w:t>
      </w:r>
      <w:r>
        <w:rPr>
          <w:rFonts w:hint="eastAsia" w:asciiTheme="minorEastAsia" w:hAnsiTheme="minorEastAsia" w:eastAsiaTheme="minorEastAsia" w:cstheme="minorEastAsia"/>
          <w:color w:val="auto"/>
        </w:rPr>
        <w:t>应设有专门的废弃物处理中心，对废弃物分类收集和处理，污水排放应符合GB 8978的要求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或根据当地城镇排水主管部门标准排入市政管网，由其统一管理。</w:t>
      </w:r>
    </w:p>
    <w:p>
      <w:pPr>
        <w:pStyle w:val="54"/>
        <w:numPr>
          <w:ilvl w:val="2"/>
          <w:numId w:val="0"/>
        </w:numPr>
        <w:spacing w:before="156" w:after="156"/>
        <w:ind w:left="-7" w:left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6.4.2</w:t>
      </w:r>
      <w:r>
        <w:rPr>
          <w:rFonts w:hint="eastAsia" w:ascii="宋体" w:hAnsi="宋体" w:eastAsia="宋体" w:cs="宋体"/>
          <w:color w:val="auto"/>
        </w:rPr>
        <w:t>应配备节能环保设施，使用绿色环保技术</w:t>
      </w:r>
      <w:r>
        <w:rPr>
          <w:rFonts w:hint="eastAsia" w:ascii="宋体" w:hAnsi="宋体" w:eastAsia="宋体" w:cs="宋体"/>
          <w:color w:val="auto"/>
          <w:lang w:eastAsia="zh-CN"/>
        </w:rPr>
        <w:t>和</w:t>
      </w:r>
      <w:r>
        <w:rPr>
          <w:rFonts w:hint="eastAsia" w:ascii="宋体" w:hAnsi="宋体" w:eastAsia="宋体" w:cs="宋体"/>
          <w:color w:val="auto"/>
        </w:rPr>
        <w:t>节能照明设备、节能采暖设备、节水设备等。鼓励使用清洁可再生能源。</w:t>
      </w:r>
      <w:r>
        <w:rPr>
          <w:rFonts w:hint="eastAsia" w:ascii="宋体" w:hAnsi="宋体" w:eastAsia="宋体" w:cs="宋体"/>
          <w:color w:val="auto"/>
          <w:sz w:val="21"/>
          <w:szCs w:val="22"/>
        </w:rPr>
        <w:t>鼓励市场使用节能环保的建筑材料和保温材料。</w:t>
      </w:r>
    </w:p>
    <w:p>
      <w:pPr>
        <w:pStyle w:val="54"/>
        <w:numPr>
          <w:ilvl w:val="2"/>
          <w:numId w:val="0"/>
        </w:numPr>
        <w:spacing w:before="156" w:after="156"/>
        <w:ind w:left="-7" w:leftChars="0"/>
        <w:rPr>
          <w:rFonts w:hint="eastAsia" w:ascii="宋体" w:hAnsi="宋体" w:eastAsia="宋体" w:cs="宋体"/>
          <w:color w:val="auto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6.4.3</w:t>
      </w:r>
      <w:r>
        <w:rPr>
          <w:rFonts w:hint="eastAsia" w:ascii="宋体" w:hAnsi="宋体" w:eastAsia="宋体" w:cs="宋体"/>
          <w:color w:val="auto"/>
        </w:rPr>
        <w:t>鼓励市场使用新能源车辆</w:t>
      </w:r>
      <w:r>
        <w:rPr>
          <w:rFonts w:hint="eastAsia" w:ascii="宋体" w:hAnsi="宋体" w:eastAsia="宋体" w:cs="宋体"/>
          <w:color w:val="auto"/>
          <w:lang w:eastAsia="zh-CN"/>
        </w:rPr>
        <w:t>进行农产品运输</w:t>
      </w:r>
      <w:r>
        <w:rPr>
          <w:rFonts w:hint="eastAsia" w:ascii="宋体" w:hAnsi="宋体" w:eastAsia="宋体" w:cs="宋体"/>
          <w:color w:val="auto"/>
        </w:rPr>
        <w:t>。</w:t>
      </w:r>
    </w:p>
    <w:p>
      <w:pPr>
        <w:pStyle w:val="50"/>
        <w:spacing w:before="312" w:after="312"/>
        <w:rPr>
          <w:b/>
          <w:bCs/>
        </w:rPr>
      </w:pPr>
      <w:r>
        <w:rPr>
          <w:rFonts w:hint="eastAsia"/>
          <w:b/>
          <w:bCs/>
          <w:lang w:eastAsia="zh-CN"/>
        </w:rPr>
        <w:t>公共服务设施</w:t>
      </w:r>
    </w:p>
    <w:p>
      <w:pPr>
        <w:pStyle w:val="54"/>
        <w:numPr>
          <w:ilvl w:val="2"/>
          <w:numId w:val="0"/>
        </w:numPr>
        <w:spacing w:before="156" w:after="156"/>
        <w:ind w:left="-7" w:left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 xml:space="preserve">7.1 </w:t>
      </w: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应使用</w:t>
      </w: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平价商品、平价专柜等</w:t>
      </w: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标识指示系统，并在市场内醒目位置展示。</w:t>
      </w:r>
    </w:p>
    <w:p>
      <w:pPr>
        <w:pStyle w:val="54"/>
        <w:numPr>
          <w:ilvl w:val="2"/>
          <w:numId w:val="0"/>
        </w:numPr>
        <w:spacing w:before="156" w:after="156"/>
        <w:ind w:left="-7" w:leftChars="0"/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7.2 应配备公示价格及食品安全检测结果等信息设备。</w:t>
      </w:r>
    </w:p>
    <w:p>
      <w:pPr>
        <w:pStyle w:val="54"/>
        <w:numPr>
          <w:ilvl w:val="2"/>
          <w:numId w:val="0"/>
        </w:numPr>
        <w:ind w:left="-7" w:leftChars="0"/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7.3 应有完善的交易结算系统，进行统一电子结算。</w:t>
      </w:r>
    </w:p>
    <w:p>
      <w:pPr>
        <w:pStyle w:val="54"/>
        <w:numPr>
          <w:ilvl w:val="2"/>
          <w:numId w:val="0"/>
        </w:numP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 xml:space="preserve">7.4 </w:t>
      </w: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应配备消防安全设施，保证消防设施齐全、完好有效。</w:t>
      </w:r>
    </w:p>
    <w:p>
      <w:pPr>
        <w:pStyle w:val="50"/>
        <w:spacing w:before="312" w:after="312"/>
        <w:rPr>
          <w:b/>
          <w:bCs/>
        </w:rPr>
      </w:pPr>
      <w:r>
        <w:rPr>
          <w:rFonts w:hint="eastAsia"/>
          <w:b/>
          <w:bCs/>
          <w:lang w:val="en-US" w:eastAsia="zh-CN"/>
        </w:rPr>
        <w:t>监督管理</w:t>
      </w:r>
    </w:p>
    <w:p>
      <w:pPr>
        <w:pStyle w:val="54"/>
        <w:numPr>
          <w:ilvl w:val="2"/>
          <w:numId w:val="0"/>
        </w:numPr>
        <w:spacing w:before="156" w:after="156"/>
        <w:ind w:left="-7" w:leftChars="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8.1</w:t>
      </w:r>
      <w:r>
        <w:rPr>
          <w:rFonts w:hint="eastAsia" w:ascii="宋体" w:hAnsi="宋体" w:eastAsia="宋体" w:cs="宋体"/>
          <w:color w:val="auto"/>
          <w:lang w:eastAsia="zh-CN"/>
        </w:rPr>
        <w:t>应建立完善的消防、</w:t>
      </w:r>
      <w:r>
        <w:rPr>
          <w:rFonts w:hint="eastAsia" w:ascii="宋体" w:hAnsi="宋体" w:eastAsia="宋体" w:cs="宋体"/>
          <w:color w:val="auto"/>
        </w:rPr>
        <w:t>水、电、保温设施</w:t>
      </w:r>
      <w:r>
        <w:rPr>
          <w:rFonts w:hint="eastAsia" w:ascii="宋体" w:hAnsi="宋体" w:eastAsia="宋体" w:cs="宋体"/>
          <w:color w:val="auto"/>
          <w:lang w:eastAsia="zh-CN"/>
        </w:rPr>
        <w:t>及结算等管理制度，并建立管理档案。</w:t>
      </w:r>
    </w:p>
    <w:p>
      <w:pPr>
        <w:pStyle w:val="20"/>
        <w:rPr>
          <w:rFonts w:hint="eastAsia"/>
          <w:lang w:eastAsia="zh-CN"/>
        </w:rPr>
      </w:pPr>
    </w:p>
    <w:p>
      <w:pPr>
        <w:pStyle w:val="20"/>
        <w:ind w:left="0" w:leftChars="0" w:firstLine="0" w:firstLineChars="0"/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</w:pPr>
      <w:r>
        <w:rPr>
          <w:rFonts w:hint="eastAsia" w:ascii="黑体" w:eastAsia="黑体" w:cs="Times New Roman"/>
          <w:sz w:val="21"/>
          <w:szCs w:val="21"/>
          <w:lang w:val="en-US" w:eastAsia="zh-CN" w:bidi="ar-SA"/>
        </w:rPr>
        <w:t>9</w:t>
      </w:r>
      <w:r>
        <w:rPr>
          <w:rFonts w:hint="eastAsia" w:ascii="黑体" w:hAnsi="Times New Roman" w:eastAsia="黑体" w:cs="Times New Roman"/>
          <w:sz w:val="21"/>
          <w:szCs w:val="21"/>
          <w:lang w:val="en-US" w:eastAsia="zh-CN" w:bidi="ar-SA"/>
        </w:rPr>
        <w:t xml:space="preserve">  </w:t>
      </w:r>
      <w:r>
        <w:rPr>
          <w:rFonts w:hint="eastAsia" w:ascii="黑体" w:hAnsi="Times New Roman" w:eastAsia="黑体" w:cs="Times New Roman"/>
          <w:b/>
          <w:bCs/>
          <w:sz w:val="21"/>
          <w:szCs w:val="21"/>
          <w:lang w:val="en-US" w:eastAsia="zh-CN" w:bidi="ar-SA"/>
        </w:rPr>
        <w:t>人员管理</w:t>
      </w:r>
    </w:p>
    <w:p>
      <w:pPr>
        <w:pStyle w:val="54"/>
        <w:numPr>
          <w:ilvl w:val="2"/>
          <w:numId w:val="0"/>
        </w:numPr>
        <w:rPr>
          <w:rFonts w:hint="eastAsia" w:ascii="宋体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 xml:space="preserve">9.1 市场管理人员及经销商具备基本的农产品流通和食品安全知识。 </w:t>
      </w:r>
    </w:p>
    <w:p>
      <w:pPr>
        <w:pStyle w:val="54"/>
        <w:numPr>
          <w:ilvl w:val="2"/>
          <w:numId w:val="0"/>
        </w:numPr>
        <w:rPr>
          <w:rFonts w:hint="eastAsia" w:ascii="宋体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9.2 建立经销商管理档案。</w:t>
      </w:r>
    </w:p>
    <w:p>
      <w:pPr>
        <w:pStyle w:val="54"/>
        <w:numPr>
          <w:ilvl w:val="2"/>
          <w:numId w:val="0"/>
        </w:numPr>
        <w:rPr>
          <w:rFonts w:hint="eastAsia" w:ascii="宋体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9.3 经销商应配合市场做好应急保供，具有一定应急保供能力。</w:t>
      </w:r>
    </w:p>
    <w:p>
      <w:pPr>
        <w:pStyle w:val="20"/>
        <w:rPr>
          <w:color w:val="auto"/>
        </w:rPr>
      </w:pPr>
    </w:p>
    <w:p>
      <w:pPr>
        <w:pStyle w:val="126"/>
      </w:pPr>
      <w:r>
        <w:rPr>
          <w:rFonts w:hint="eastAsia"/>
        </w:rP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3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3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7"/>
    </w:pPr>
    <w:r>
      <w:rPr>
        <w:rFonts w:hint="eastAsia"/>
      </w:rPr>
      <w:t>XX/T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7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24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95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81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9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5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4"/>
      <w:suff w:val="nothing"/>
      <w:lvlText w:val="%1.%2.%3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3"/>
      <w:suff w:val="nothing"/>
      <w:lvlText w:val="%1.%2.%3.%4　"/>
      <w:lvlJc w:val="left"/>
      <w:pPr>
        <w:ind w:left="2552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6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13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89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60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84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92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7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70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49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6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11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1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108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4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7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19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4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4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oNotTrackMoves/>
  <w:attachedTemplate r:id="rId1"/>
  <w:documentProtection w:edit="forms" w:enforcement="1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62E90"/>
    <w:rsid w:val="00000244"/>
    <w:rsid w:val="0000185F"/>
    <w:rsid w:val="0000586F"/>
    <w:rsid w:val="00013D86"/>
    <w:rsid w:val="00013E02"/>
    <w:rsid w:val="0002143C"/>
    <w:rsid w:val="00022179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4E53"/>
    <w:rsid w:val="0016699D"/>
    <w:rsid w:val="0017207E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41B1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05E2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6200E"/>
    <w:rsid w:val="00465EFF"/>
    <w:rsid w:val="00471E91"/>
    <w:rsid w:val="00474675"/>
    <w:rsid w:val="0047470C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4C0D"/>
    <w:rsid w:val="00666B6C"/>
    <w:rsid w:val="00682682"/>
    <w:rsid w:val="00682702"/>
    <w:rsid w:val="00692368"/>
    <w:rsid w:val="00696410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666D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9578F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3321C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541F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13C9C"/>
    <w:rsid w:val="00B15469"/>
    <w:rsid w:val="00B353EB"/>
    <w:rsid w:val="00B439C4"/>
    <w:rsid w:val="00B4535E"/>
    <w:rsid w:val="00B52A8C"/>
    <w:rsid w:val="00B57BDE"/>
    <w:rsid w:val="00B636A8"/>
    <w:rsid w:val="00B661F6"/>
    <w:rsid w:val="00B665C6"/>
    <w:rsid w:val="00B805AF"/>
    <w:rsid w:val="00B85B10"/>
    <w:rsid w:val="00B869EC"/>
    <w:rsid w:val="00B9397A"/>
    <w:rsid w:val="00B94699"/>
    <w:rsid w:val="00B9633D"/>
    <w:rsid w:val="00BA2EBE"/>
    <w:rsid w:val="00BB0F28"/>
    <w:rsid w:val="00BB216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7AB"/>
    <w:rsid w:val="00C65BCC"/>
    <w:rsid w:val="00C66970"/>
    <w:rsid w:val="00C721DE"/>
    <w:rsid w:val="00C72BF0"/>
    <w:rsid w:val="00C8691C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37D61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0ECF"/>
    <w:rsid w:val="00DB5E66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81D29"/>
    <w:rsid w:val="00F91C4D"/>
    <w:rsid w:val="00F92FD9"/>
    <w:rsid w:val="00FA6684"/>
    <w:rsid w:val="00FA731E"/>
    <w:rsid w:val="00FB2B38"/>
    <w:rsid w:val="00FC6358"/>
    <w:rsid w:val="00FD320D"/>
    <w:rsid w:val="00FE23DE"/>
    <w:rsid w:val="00FF541A"/>
    <w:rsid w:val="01B05589"/>
    <w:rsid w:val="024B68C4"/>
    <w:rsid w:val="0321152C"/>
    <w:rsid w:val="038A52A3"/>
    <w:rsid w:val="057472AE"/>
    <w:rsid w:val="064C5D52"/>
    <w:rsid w:val="067A5293"/>
    <w:rsid w:val="0794661C"/>
    <w:rsid w:val="07F514DD"/>
    <w:rsid w:val="08483632"/>
    <w:rsid w:val="09283866"/>
    <w:rsid w:val="0B303274"/>
    <w:rsid w:val="0B4E34C8"/>
    <w:rsid w:val="0CEF67BC"/>
    <w:rsid w:val="0D8E4194"/>
    <w:rsid w:val="0E552C71"/>
    <w:rsid w:val="0EAD0CA6"/>
    <w:rsid w:val="104D559E"/>
    <w:rsid w:val="147563B8"/>
    <w:rsid w:val="15363196"/>
    <w:rsid w:val="167616D0"/>
    <w:rsid w:val="167D5940"/>
    <w:rsid w:val="1765111E"/>
    <w:rsid w:val="18BA676E"/>
    <w:rsid w:val="18EB0DA0"/>
    <w:rsid w:val="19360987"/>
    <w:rsid w:val="196175FD"/>
    <w:rsid w:val="1A7C57C9"/>
    <w:rsid w:val="1AB145FF"/>
    <w:rsid w:val="1B4C3EC7"/>
    <w:rsid w:val="1C010F7D"/>
    <w:rsid w:val="1C7301C2"/>
    <w:rsid w:val="1D474BFC"/>
    <w:rsid w:val="20EF18D6"/>
    <w:rsid w:val="21D57C07"/>
    <w:rsid w:val="223B1458"/>
    <w:rsid w:val="22D70540"/>
    <w:rsid w:val="23D5444E"/>
    <w:rsid w:val="242556FC"/>
    <w:rsid w:val="24661C1D"/>
    <w:rsid w:val="256B6271"/>
    <w:rsid w:val="263846F6"/>
    <w:rsid w:val="27056360"/>
    <w:rsid w:val="29FD29A9"/>
    <w:rsid w:val="2A8F6353"/>
    <w:rsid w:val="2A996947"/>
    <w:rsid w:val="2B37099E"/>
    <w:rsid w:val="2B3B0A04"/>
    <w:rsid w:val="2C6854CD"/>
    <w:rsid w:val="2C7B5BAF"/>
    <w:rsid w:val="2CDB6F21"/>
    <w:rsid w:val="2D064416"/>
    <w:rsid w:val="2DCB69BD"/>
    <w:rsid w:val="2E375295"/>
    <w:rsid w:val="2F4130EB"/>
    <w:rsid w:val="30DE0CBA"/>
    <w:rsid w:val="32EA6C57"/>
    <w:rsid w:val="33D76313"/>
    <w:rsid w:val="342F6487"/>
    <w:rsid w:val="366525A8"/>
    <w:rsid w:val="38622A89"/>
    <w:rsid w:val="386D3BAF"/>
    <w:rsid w:val="39D12B4E"/>
    <w:rsid w:val="3AD72BBB"/>
    <w:rsid w:val="3C2A6387"/>
    <w:rsid w:val="3D0F0442"/>
    <w:rsid w:val="3E215F5C"/>
    <w:rsid w:val="3E4D630D"/>
    <w:rsid w:val="3E97242B"/>
    <w:rsid w:val="3F3602EC"/>
    <w:rsid w:val="3F601F53"/>
    <w:rsid w:val="402051EC"/>
    <w:rsid w:val="40BB4CB1"/>
    <w:rsid w:val="41CB79F1"/>
    <w:rsid w:val="41E05482"/>
    <w:rsid w:val="480C3B48"/>
    <w:rsid w:val="49BA5993"/>
    <w:rsid w:val="4AD226A5"/>
    <w:rsid w:val="4B2E67DD"/>
    <w:rsid w:val="4BC7163A"/>
    <w:rsid w:val="4D2E47D9"/>
    <w:rsid w:val="4D3F4364"/>
    <w:rsid w:val="4FFB11AA"/>
    <w:rsid w:val="506C6B49"/>
    <w:rsid w:val="509041B9"/>
    <w:rsid w:val="513F318D"/>
    <w:rsid w:val="51A35C69"/>
    <w:rsid w:val="51CE12AB"/>
    <w:rsid w:val="51D03579"/>
    <w:rsid w:val="52326C04"/>
    <w:rsid w:val="543B474F"/>
    <w:rsid w:val="54B843EE"/>
    <w:rsid w:val="55E65E32"/>
    <w:rsid w:val="58095128"/>
    <w:rsid w:val="5C302215"/>
    <w:rsid w:val="5C5340AD"/>
    <w:rsid w:val="5D9B0B1B"/>
    <w:rsid w:val="5DFE1DA7"/>
    <w:rsid w:val="5E890A1A"/>
    <w:rsid w:val="5ECB4C7C"/>
    <w:rsid w:val="5F502FF2"/>
    <w:rsid w:val="60E01B6F"/>
    <w:rsid w:val="62527B9A"/>
    <w:rsid w:val="63562E90"/>
    <w:rsid w:val="6472293F"/>
    <w:rsid w:val="64EC2FC5"/>
    <w:rsid w:val="65956938"/>
    <w:rsid w:val="66E01E10"/>
    <w:rsid w:val="69B46340"/>
    <w:rsid w:val="6A5A0FD8"/>
    <w:rsid w:val="6B0B6C8A"/>
    <w:rsid w:val="6B9E6E26"/>
    <w:rsid w:val="6C144679"/>
    <w:rsid w:val="6CE50F84"/>
    <w:rsid w:val="6E16193D"/>
    <w:rsid w:val="72143451"/>
    <w:rsid w:val="72A025BE"/>
    <w:rsid w:val="756D1A6D"/>
    <w:rsid w:val="761E25E5"/>
    <w:rsid w:val="79254B81"/>
    <w:rsid w:val="79DD4AAF"/>
    <w:rsid w:val="7A1E3530"/>
    <w:rsid w:val="7A644452"/>
    <w:rsid w:val="7BDE7FB5"/>
    <w:rsid w:val="7BE155BE"/>
    <w:rsid w:val="7E147D70"/>
    <w:rsid w:val="7F15292D"/>
    <w:rsid w:val="7F701988"/>
    <w:rsid w:val="7FBF2FEF"/>
    <w:rsid w:val="7FE636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8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13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29">
    <w:name w:val="endnote reference"/>
    <w:semiHidden/>
    <w:qFormat/>
    <w:uiPriority w:val="0"/>
    <w:rPr>
      <w:vertAlign w:val="superscript"/>
    </w:rPr>
  </w:style>
  <w:style w:type="character" w:styleId="30">
    <w:name w:val="page number"/>
    <w:qFormat/>
    <w:uiPriority w:val="0"/>
    <w:rPr>
      <w:rFonts w:ascii="Times New Roman" w:hAnsi="Times New Roman" w:eastAsia="宋体"/>
      <w:sz w:val="18"/>
    </w:rPr>
  </w:style>
  <w:style w:type="character" w:styleId="31">
    <w:name w:val="FollowedHyperlink"/>
    <w:qFormat/>
    <w:uiPriority w:val="0"/>
    <w:rPr>
      <w:color w:val="000000"/>
      <w:u w:val="none"/>
    </w:rPr>
  </w:style>
  <w:style w:type="character" w:styleId="32">
    <w:name w:val="Emphasis"/>
    <w:basedOn w:val="28"/>
    <w:qFormat/>
    <w:uiPriority w:val="0"/>
  </w:style>
  <w:style w:type="character" w:styleId="33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qFormat/>
    <w:uiPriority w:val="0"/>
    <w:rPr>
      <w:vertAlign w:val="superscript"/>
    </w:rPr>
  </w:style>
  <w:style w:type="table" w:styleId="36">
    <w:name w:val="Table Grid"/>
    <w:basedOn w:val="3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注：（正文）"/>
    <w:basedOn w:val="40"/>
    <w:next w:val="20"/>
    <w:qFormat/>
    <w:uiPriority w:val="0"/>
  </w:style>
  <w:style w:type="paragraph" w:customStyle="1" w:styleId="40">
    <w:name w:val="注："/>
    <w:next w:val="20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1">
    <w:name w:val="一级条标题"/>
    <w:next w:val="20"/>
    <w:link w:val="138"/>
    <w:qFormat/>
    <w:uiPriority w:val="0"/>
    <w:pPr>
      <w:numPr>
        <w:ilvl w:val="1"/>
        <w:numId w:val="3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附录五级条标题"/>
    <w:basedOn w:val="43"/>
    <w:next w:val="20"/>
    <w:qFormat/>
    <w:uiPriority w:val="0"/>
    <w:pPr>
      <w:numPr>
        <w:ilvl w:val="6"/>
      </w:numPr>
      <w:tabs>
        <w:tab w:val="left" w:pos="360"/>
      </w:tabs>
      <w:outlineLvl w:val="6"/>
    </w:pPr>
  </w:style>
  <w:style w:type="paragraph" w:customStyle="1" w:styleId="43">
    <w:name w:val="附录四级条标题"/>
    <w:basedOn w:val="44"/>
    <w:next w:val="20"/>
    <w:qFormat/>
    <w:uiPriority w:val="0"/>
    <w:pPr>
      <w:numPr>
        <w:ilvl w:val="5"/>
      </w:numPr>
      <w:tabs>
        <w:tab w:val="left" w:pos="360"/>
      </w:tabs>
      <w:outlineLvl w:val="5"/>
    </w:pPr>
  </w:style>
  <w:style w:type="paragraph" w:customStyle="1" w:styleId="44">
    <w:name w:val="附录三级条标题"/>
    <w:basedOn w:val="45"/>
    <w:next w:val="20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45">
    <w:name w:val="附录二级条标题"/>
    <w:basedOn w:val="1"/>
    <w:next w:val="20"/>
    <w:qFormat/>
    <w:uiPriority w:val="0"/>
    <w:pPr>
      <w:widowControl/>
      <w:numPr>
        <w:ilvl w:val="3"/>
        <w:numId w:val="4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4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封面标准英文名称"/>
    <w:basedOn w:val="48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4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9">
    <w:name w:val="示例×："/>
    <w:basedOn w:val="50"/>
    <w:qFormat/>
    <w:uiPriority w:val="0"/>
    <w:pPr>
      <w:numPr>
        <w:numId w:val="5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0">
    <w:name w:val="章标题"/>
    <w:next w:val="20"/>
    <w:qFormat/>
    <w:uiPriority w:val="0"/>
    <w:pPr>
      <w:numPr>
        <w:ilvl w:val="0"/>
        <w:numId w:val="3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1">
    <w:name w:val="五级条标题"/>
    <w:basedOn w:val="52"/>
    <w:next w:val="20"/>
    <w:qFormat/>
    <w:uiPriority w:val="0"/>
    <w:pPr>
      <w:numPr>
        <w:ilvl w:val="5"/>
      </w:numPr>
      <w:outlineLvl w:val="6"/>
    </w:pPr>
  </w:style>
  <w:style w:type="paragraph" w:customStyle="1" w:styleId="52">
    <w:name w:val="四级条标题"/>
    <w:basedOn w:val="53"/>
    <w:next w:val="20"/>
    <w:qFormat/>
    <w:uiPriority w:val="0"/>
    <w:pPr>
      <w:numPr>
        <w:ilvl w:val="4"/>
      </w:numPr>
      <w:outlineLvl w:val="5"/>
    </w:pPr>
  </w:style>
  <w:style w:type="paragraph" w:customStyle="1" w:styleId="53">
    <w:name w:val="三级条标题"/>
    <w:basedOn w:val="54"/>
    <w:next w:val="20"/>
    <w:link w:val="139"/>
    <w:qFormat/>
    <w:uiPriority w:val="0"/>
    <w:pPr>
      <w:numPr>
        <w:ilvl w:val="3"/>
      </w:numPr>
      <w:outlineLvl w:val="4"/>
    </w:pPr>
  </w:style>
  <w:style w:type="paragraph" w:customStyle="1" w:styleId="54">
    <w:name w:val="二级条标题"/>
    <w:basedOn w:val="41"/>
    <w:next w:val="20"/>
    <w:link w:val="13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5">
    <w:name w:val="封面标准文稿编辑信息2"/>
    <w:basedOn w:val="56"/>
    <w:qFormat/>
    <w:uiPriority w:val="0"/>
    <w:pPr>
      <w:framePr w:y="4469"/>
    </w:pPr>
  </w:style>
  <w:style w:type="paragraph" w:customStyle="1" w:styleId="56">
    <w:name w:val="封面标准文稿编辑信息"/>
    <w:basedOn w:val="57"/>
    <w:qFormat/>
    <w:uiPriority w:val="0"/>
    <w:pPr>
      <w:spacing w:before="180" w:line="180" w:lineRule="exact"/>
    </w:pPr>
    <w:rPr>
      <w:sz w:val="21"/>
    </w:rPr>
  </w:style>
  <w:style w:type="paragraph" w:customStyle="1" w:styleId="57">
    <w:name w:val="封面标准文稿类别"/>
    <w:basedOn w:val="58"/>
    <w:qFormat/>
    <w:uiPriority w:val="0"/>
    <w:pPr>
      <w:spacing w:after="160" w:line="240" w:lineRule="auto"/>
    </w:pPr>
    <w:rPr>
      <w:sz w:val="24"/>
    </w:rPr>
  </w:style>
  <w:style w:type="paragraph" w:customStyle="1" w:styleId="58">
    <w:name w:val="封面一致性程度标识"/>
    <w:basedOn w:val="47"/>
    <w:qFormat/>
    <w:uiPriority w:val="0"/>
    <w:pPr>
      <w:spacing w:before="440"/>
    </w:pPr>
    <w:rPr>
      <w:rFonts w:ascii="宋体" w:eastAsia="宋体"/>
    </w:rPr>
  </w:style>
  <w:style w:type="paragraph" w:customStyle="1" w:styleId="59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0">
    <w:name w:val="列项●（二级）"/>
    <w:qFormat/>
    <w:uiPriority w:val="0"/>
    <w:pPr>
      <w:numPr>
        <w:ilvl w:val="1"/>
        <w:numId w:val="6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五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2">
    <w:name w:val="附录图标号"/>
    <w:basedOn w:val="1"/>
    <w:qFormat/>
    <w:uiPriority w:val="0"/>
    <w:pPr>
      <w:keepNext/>
      <w:pageBreakBefore/>
      <w:widowControl/>
      <w:numPr>
        <w:ilvl w:val="0"/>
        <w:numId w:val="7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63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正文图标题"/>
    <w:next w:val="20"/>
    <w:qFormat/>
    <w:uiPriority w:val="0"/>
    <w:pPr>
      <w:numPr>
        <w:ilvl w:val="0"/>
        <w:numId w:val="8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5">
    <w:name w:val="条文脚注"/>
    <w:basedOn w:val="21"/>
    <w:qFormat/>
    <w:uiPriority w:val="0"/>
    <w:pPr>
      <w:numPr>
        <w:numId w:val="0"/>
      </w:numPr>
      <w:jc w:val="both"/>
    </w:pPr>
  </w:style>
  <w:style w:type="paragraph" w:customStyle="1" w:styleId="66">
    <w:name w:val="标准书眉_偶数页"/>
    <w:basedOn w:val="67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6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68">
    <w:name w:val="其他标准标志"/>
    <w:basedOn w:val="69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69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0">
    <w:name w:val="编号列项（三级）"/>
    <w:qFormat/>
    <w:uiPriority w:val="0"/>
    <w:pPr>
      <w:numPr>
        <w:ilvl w:val="2"/>
        <w:numId w:val="9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2">
    <w:name w:val="数字编号列项（二级）"/>
    <w:qFormat/>
    <w:uiPriority w:val="0"/>
    <w:pPr>
      <w:numPr>
        <w:ilvl w:val="1"/>
        <w:numId w:val="9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3">
    <w:name w:val="附录字母编号列项（一级）"/>
    <w:qFormat/>
    <w:uiPriority w:val="0"/>
    <w:pPr>
      <w:numPr>
        <w:ilvl w:val="0"/>
        <w:numId w:val="10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4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5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76">
    <w:name w:val="附录三级无"/>
    <w:basedOn w:val="4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77">
    <w:name w:val="实施日期"/>
    <w:basedOn w:val="78"/>
    <w:qFormat/>
    <w:uiPriority w:val="0"/>
    <w:pPr>
      <w:framePr w:vAnchor="page" w:hAnchor="text"/>
      <w:jc w:val="right"/>
    </w:pPr>
  </w:style>
  <w:style w:type="paragraph" w:customStyle="1" w:styleId="78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9">
    <w:name w:val="注×："/>
    <w:qFormat/>
    <w:uiPriority w:val="0"/>
    <w:pPr>
      <w:widowControl w:val="0"/>
      <w:numPr>
        <w:ilvl w:val="0"/>
        <w:numId w:val="1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0">
    <w:name w:val="附录表标号"/>
    <w:basedOn w:val="1"/>
    <w:next w:val="20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1">
    <w:name w:val="图表脚注说明"/>
    <w:basedOn w:val="1"/>
    <w:qFormat/>
    <w:uiPriority w:val="0"/>
    <w:pPr>
      <w:numPr>
        <w:ilvl w:val="0"/>
        <w:numId w:val="13"/>
      </w:numPr>
    </w:pPr>
    <w:rPr>
      <w:rFonts w:ascii="宋体"/>
      <w:sz w:val="18"/>
      <w:szCs w:val="18"/>
    </w:rPr>
  </w:style>
  <w:style w:type="paragraph" w:customStyle="1" w:styleId="82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8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4">
    <w:name w:val="列项◆（三级）"/>
    <w:basedOn w:val="1"/>
    <w:qFormat/>
    <w:uiPriority w:val="0"/>
    <w:pPr>
      <w:numPr>
        <w:ilvl w:val="2"/>
        <w:numId w:val="6"/>
      </w:numPr>
    </w:pPr>
    <w:rPr>
      <w:rFonts w:ascii="宋体"/>
      <w:szCs w:val="21"/>
    </w:rPr>
  </w:style>
  <w:style w:type="paragraph" w:customStyle="1" w:styleId="85">
    <w:name w:val="其他发布部门"/>
    <w:basedOn w:val="86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86">
    <w:name w:val="发布部门"/>
    <w:next w:val="20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87">
    <w:name w:val="目次、标准名称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8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9">
    <w:name w:val="列项——（一级）"/>
    <w:qFormat/>
    <w:uiPriority w:val="0"/>
    <w:pPr>
      <w:widowControl w:val="0"/>
      <w:numPr>
        <w:ilvl w:val="0"/>
        <w:numId w:val="6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0">
    <w:name w:val="二级无"/>
    <w:basedOn w:val="5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91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92">
    <w:name w:val="字母编号列项（一级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94">
    <w:name w:val="参考文献、索引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5">
    <w:name w:val="示例"/>
    <w:next w:val="74"/>
    <w:qFormat/>
    <w:uiPriority w:val="0"/>
    <w:pPr>
      <w:widowControl w:val="0"/>
      <w:numPr>
        <w:ilvl w:val="0"/>
        <w:numId w:val="1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6">
    <w:name w:val="其他实施日期"/>
    <w:basedOn w:val="77"/>
    <w:qFormat/>
    <w:uiPriority w:val="0"/>
  </w:style>
  <w:style w:type="paragraph" w:customStyle="1" w:styleId="97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98">
    <w:name w:val="参考文献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9">
    <w:name w:val="注×：（正文）"/>
    <w:qFormat/>
    <w:uiPriority w:val="0"/>
    <w:pPr>
      <w:numPr>
        <w:ilvl w:val="0"/>
        <w:numId w:val="1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0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1">
    <w:name w:val="三级无"/>
    <w:basedOn w:val="5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3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4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5">
    <w:name w:val="封面一致性程度标识2"/>
    <w:basedOn w:val="58"/>
    <w:qFormat/>
    <w:uiPriority w:val="0"/>
    <w:pPr>
      <w:framePr w:y="4469"/>
    </w:pPr>
  </w:style>
  <w:style w:type="paragraph" w:customStyle="1" w:styleId="106">
    <w:name w:val="附录一级条标题"/>
    <w:basedOn w:val="107"/>
    <w:next w:val="20"/>
    <w:qFormat/>
    <w:uiPriority w:val="0"/>
    <w:pPr>
      <w:numPr>
        <w:ilvl w:val="2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107">
    <w:name w:val="附录章标题"/>
    <w:next w:val="20"/>
    <w:qFormat/>
    <w:uiPriority w:val="0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8">
    <w:name w:val="附录标识"/>
    <w:basedOn w:val="1"/>
    <w:next w:val="20"/>
    <w:qFormat/>
    <w:uiPriority w:val="0"/>
    <w:pPr>
      <w:keepNext/>
      <w:widowControl/>
      <w:numPr>
        <w:ilvl w:val="0"/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09">
    <w:name w:val="附录一级无"/>
    <w:basedOn w:val="10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0">
    <w:name w:val="附录标题"/>
    <w:basedOn w:val="20"/>
    <w:next w:val="20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11">
    <w:name w:val="附录表标题"/>
    <w:basedOn w:val="1"/>
    <w:next w:val="20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12">
    <w:name w:val="正文表标题"/>
    <w:next w:val="20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3">
    <w:name w:val="附录图标题"/>
    <w:basedOn w:val="1"/>
    <w:next w:val="20"/>
    <w:qFormat/>
    <w:uiPriority w:val="0"/>
    <w:pPr>
      <w:numPr>
        <w:ilvl w:val="1"/>
        <w:numId w:val="7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14">
    <w:name w:val="附录二级无"/>
    <w:basedOn w:val="4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5">
    <w:name w:val="一级无"/>
    <w:basedOn w:val="4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6">
    <w:name w:val="附录公式"/>
    <w:basedOn w:val="20"/>
    <w:next w:val="20"/>
    <w:link w:val="130"/>
    <w:qFormat/>
    <w:uiPriority w:val="0"/>
  </w:style>
  <w:style w:type="paragraph" w:customStyle="1" w:styleId="117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18">
    <w:name w:val="图标脚注说明"/>
    <w:basedOn w:val="20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9">
    <w:name w:val="附录数字编号列项（二级）"/>
    <w:qFormat/>
    <w:uiPriority w:val="0"/>
    <w:pPr>
      <w:numPr>
        <w:ilvl w:val="1"/>
        <w:numId w:val="10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0">
    <w:name w:val="其他发布日期"/>
    <w:basedOn w:val="78"/>
    <w:qFormat/>
    <w:uiPriority w:val="0"/>
    <w:pPr>
      <w:framePr w:vAnchor="page" w:hAnchor="text" w:x="1419"/>
    </w:pPr>
  </w:style>
  <w:style w:type="paragraph" w:customStyle="1" w:styleId="121">
    <w:name w:val="附录四级无"/>
    <w:basedOn w:val="4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2">
    <w:name w:val="封面标准英文名称2"/>
    <w:basedOn w:val="47"/>
    <w:qFormat/>
    <w:uiPriority w:val="0"/>
    <w:pPr>
      <w:framePr w:y="4469"/>
    </w:pPr>
  </w:style>
  <w:style w:type="paragraph" w:customStyle="1" w:styleId="123">
    <w:name w:val="附录五级无"/>
    <w:basedOn w:val="4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4">
    <w:name w:val="首示例"/>
    <w:next w:val="20"/>
    <w:link w:val="132"/>
    <w:qFormat/>
    <w:uiPriority w:val="0"/>
    <w:pPr>
      <w:numPr>
        <w:ilvl w:val="0"/>
        <w:numId w:val="17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125">
    <w:name w:val="四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7">
    <w:name w:val="封面标准名称2"/>
    <w:basedOn w:val="48"/>
    <w:qFormat/>
    <w:uiPriority w:val="0"/>
    <w:pPr>
      <w:framePr w:y="4469"/>
      <w:spacing w:beforeLines="630"/>
    </w:pPr>
  </w:style>
  <w:style w:type="paragraph" w:customStyle="1" w:styleId="128">
    <w:name w:val="封面标准文稿类别2"/>
    <w:basedOn w:val="57"/>
    <w:qFormat/>
    <w:uiPriority w:val="0"/>
    <w:pPr>
      <w:framePr w:y="4469"/>
    </w:pPr>
  </w:style>
  <w:style w:type="character" w:customStyle="1" w:styleId="12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0">
    <w:name w:val="附录公式 Char"/>
    <w:basedOn w:val="131"/>
    <w:link w:val="116"/>
    <w:qFormat/>
    <w:uiPriority w:val="0"/>
    <w:rPr>
      <w:rFonts w:ascii="宋体"/>
      <w:sz w:val="21"/>
      <w:lang w:val="en-US" w:eastAsia="zh-CN" w:bidi="ar-SA"/>
    </w:rPr>
  </w:style>
  <w:style w:type="character" w:customStyle="1" w:styleId="131">
    <w:name w:val="段 Char"/>
    <w:link w:val="20"/>
    <w:qFormat/>
    <w:uiPriority w:val="0"/>
    <w:rPr>
      <w:rFonts w:ascii="宋体"/>
      <w:sz w:val="21"/>
      <w:lang w:val="en-US" w:eastAsia="zh-CN" w:bidi="ar-SA"/>
    </w:rPr>
  </w:style>
  <w:style w:type="character" w:customStyle="1" w:styleId="132">
    <w:name w:val="首示例 Char"/>
    <w:link w:val="124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33">
    <w:name w:val="二级条标题 Char"/>
    <w:link w:val="54"/>
    <w:qFormat/>
    <w:uiPriority w:val="0"/>
    <w:rPr>
      <w:rFonts w:ascii="黑体" w:eastAsia="黑体"/>
      <w:sz w:val="21"/>
      <w:szCs w:val="21"/>
    </w:rPr>
  </w:style>
  <w:style w:type="character" w:customStyle="1" w:styleId="134">
    <w:name w:val="more"/>
    <w:qFormat/>
    <w:uiPriority w:val="0"/>
    <w:rPr>
      <w:color w:val="666666"/>
      <w:sz w:val="18"/>
      <w:szCs w:val="18"/>
    </w:rPr>
  </w:style>
  <w:style w:type="character" w:customStyle="1" w:styleId="135">
    <w:name w:val="tabg"/>
    <w:qFormat/>
    <w:uiPriority w:val="0"/>
    <w:rPr>
      <w:rFonts w:ascii="微软雅黑" w:hAnsi="微软雅黑" w:eastAsia="微软雅黑" w:cs="微软雅黑"/>
      <w:color w:val="FFFFFF"/>
      <w:sz w:val="27"/>
      <w:szCs w:val="27"/>
    </w:rPr>
  </w:style>
  <w:style w:type="character" w:customStyle="1" w:styleId="136">
    <w:name w:val="bg01"/>
    <w:basedOn w:val="28"/>
    <w:qFormat/>
    <w:uiPriority w:val="0"/>
  </w:style>
  <w:style w:type="character" w:customStyle="1" w:styleId="137">
    <w:name w:val="bg02"/>
    <w:basedOn w:val="28"/>
    <w:qFormat/>
    <w:uiPriority w:val="0"/>
  </w:style>
  <w:style w:type="character" w:customStyle="1" w:styleId="138">
    <w:name w:val="一级条标题 Char"/>
    <w:link w:val="41"/>
    <w:qFormat/>
    <w:uiPriority w:val="0"/>
    <w:rPr>
      <w:rFonts w:ascii="黑体" w:eastAsia="黑体"/>
      <w:sz w:val="21"/>
      <w:szCs w:val="21"/>
    </w:rPr>
  </w:style>
  <w:style w:type="character" w:customStyle="1" w:styleId="139">
    <w:name w:val="三级条标题 Char"/>
    <w:link w:val="5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n\Desktop\&#20844;&#30410;&#24615;&#25209;&#21457;&#24066;&#22330;&#26694;&#2655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公益性批发市场框架.dot</Template>
  <Pages>6</Pages>
  <Words>528</Words>
  <Characters>3014</Characters>
  <Lines>25</Lines>
  <Paragraphs>7</Paragraphs>
  <TotalTime>39</TotalTime>
  <ScaleCrop>false</ScaleCrop>
  <LinksUpToDate>false</LinksUpToDate>
  <CharactersWithSpaces>3535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2017-08-10T06:56:00Z</dcterms:created>
  <cp:lastPrinted>2018-06-15T01:18:00Z</cp:lastPrinted>
  <dcterms:modified xsi:type="dcterms:W3CDTF">2018-06-15T01:18:09Z</dcterms:modified>
  <dc:title>标准名称</dc:title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