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3C" w:rsidRDefault="002D463C" w:rsidP="002D463C">
      <w:pPr>
        <w:pStyle w:val="afffffe"/>
        <w:framePr w:wrap="around"/>
      </w:pPr>
      <w:bookmarkStart w:id="0" w:name="_GoBack"/>
      <w:bookmarkEnd w:id="0"/>
      <w:r w:rsidRPr="002D463C">
        <w:rPr>
          <w:rFonts w:ascii="Times New Roman"/>
        </w:rPr>
        <w:t>ICS</w:t>
      </w:r>
      <w:r>
        <w:t> </w:t>
      </w:r>
      <w:r w:rsidR="00422663">
        <w:fldChar w:fldCharType="begin">
          <w:ffData>
            <w:name w:val="ICS"/>
            <w:enabled/>
            <w:calcOnExit w:val="0"/>
            <w:helpText w:type="autoText" w:val="请输入正确的ICS号："/>
            <w:textInput>
              <w:default w:val="点击此处添加ICS号"/>
            </w:textInput>
          </w:ffData>
        </w:fldChar>
      </w:r>
      <w:bookmarkStart w:id="1" w:name="ICS"/>
      <w:r>
        <w:instrText xml:space="preserve"> FORMTEXT </w:instrText>
      </w:r>
      <w:r w:rsidR="00422663">
        <w:fldChar w:fldCharType="separate"/>
      </w:r>
      <w:r>
        <w:rPr>
          <w:rFonts w:hint="eastAsia"/>
        </w:rPr>
        <w:t>03.100.01</w:t>
      </w:r>
      <w:r w:rsidR="00422663">
        <w:fldChar w:fldCharType="end"/>
      </w:r>
      <w:bookmarkEnd w:id="1"/>
    </w:p>
    <w:p w:rsidR="002D463C" w:rsidRDefault="00422663" w:rsidP="002D463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002D463C">
        <w:instrText xml:space="preserve"> FORMTEXT </w:instrText>
      </w:r>
      <w:r>
        <w:fldChar w:fldCharType="separate"/>
      </w:r>
      <w:r w:rsidR="002D463C">
        <w:rPr>
          <w:rFonts w:hint="eastAsia"/>
        </w:rPr>
        <w:t>A 10</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D463C" w:rsidTr="00073535">
        <w:tc>
          <w:tcPr>
            <w:tcW w:w="9854" w:type="dxa"/>
            <w:tcBorders>
              <w:top w:val="nil"/>
              <w:left w:val="nil"/>
              <w:bottom w:val="nil"/>
              <w:right w:val="nil"/>
            </w:tcBorders>
            <w:shd w:val="clear" w:color="auto" w:fill="auto"/>
          </w:tcPr>
          <w:p w:rsidR="002D463C" w:rsidRDefault="00046AE3" w:rsidP="002D463C">
            <w:pPr>
              <w:pStyle w:val="afffffe"/>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422663">
              <w:fldChar w:fldCharType="begin">
                <w:ffData>
                  <w:name w:val="BAH"/>
                  <w:enabled/>
                  <w:calcOnExit w:val="0"/>
                  <w:textInput/>
                </w:ffData>
              </w:fldChar>
            </w:r>
            <w:bookmarkStart w:id="3" w:name="BAH"/>
            <w:r w:rsidR="002D463C">
              <w:instrText xml:space="preserve"> FORMTEXT </w:instrText>
            </w:r>
            <w:r w:rsidR="00422663">
              <w:fldChar w:fldCharType="separate"/>
            </w:r>
            <w:r w:rsidR="00AD6F64">
              <w:t> </w:t>
            </w:r>
            <w:r w:rsidR="00AD6F64">
              <w:t> </w:t>
            </w:r>
            <w:r w:rsidR="00AD6F64">
              <w:t> </w:t>
            </w:r>
            <w:r w:rsidR="00AD6F64">
              <w:t> </w:t>
            </w:r>
            <w:r w:rsidR="00AD6F64">
              <w:t> </w:t>
            </w:r>
            <w:r w:rsidR="00422663">
              <w:fldChar w:fldCharType="end"/>
            </w:r>
            <w:bookmarkEnd w:id="3"/>
          </w:p>
        </w:tc>
      </w:tr>
    </w:tbl>
    <w:p w:rsidR="002D463C" w:rsidRDefault="00422663" w:rsidP="002D463C">
      <w:pPr>
        <w:pStyle w:val="afff"/>
        <w:framePr w:wrap="around"/>
      </w:pPr>
      <w:r>
        <w:fldChar w:fldCharType="begin">
          <w:ffData>
            <w:name w:val="c1"/>
            <w:enabled/>
            <w:calcOnExit w:val="0"/>
            <w:entryMacro w:val="ShowHelp15"/>
            <w:textInput>
              <w:maxLength w:val="2"/>
            </w:textInput>
          </w:ffData>
        </w:fldChar>
      </w:r>
      <w:bookmarkStart w:id="4" w:name="c1"/>
      <w:r w:rsidR="002D463C">
        <w:instrText xml:space="preserve"> FORMTEXT </w:instrText>
      </w:r>
      <w:r>
        <w:fldChar w:fldCharType="separate"/>
      </w:r>
      <w:r w:rsidR="002D463C">
        <w:rPr>
          <w:rFonts w:hint="eastAsia"/>
          <w:noProof/>
        </w:rPr>
        <w:t>SB</w:t>
      </w:r>
      <w:r>
        <w:fldChar w:fldCharType="end"/>
      </w:r>
      <w:bookmarkEnd w:id="4"/>
    </w:p>
    <w:p w:rsidR="002D463C" w:rsidRDefault="002D463C" w:rsidP="002D463C">
      <w:pPr>
        <w:pStyle w:val="affffe"/>
        <w:framePr w:wrap="around"/>
      </w:pPr>
      <w:r>
        <w:rPr>
          <w:rFonts w:hint="eastAsia"/>
        </w:rPr>
        <w:t>中华人民共和国</w:t>
      </w:r>
      <w:r w:rsidR="00422663">
        <w:fldChar w:fldCharType="begin">
          <w:ffData>
            <w:name w:val="c2"/>
            <w:enabled/>
            <w:calcOnExit w:val="0"/>
            <w:entryMacro w:val="showhelp11"/>
            <w:textInput/>
          </w:ffData>
        </w:fldChar>
      </w:r>
      <w:bookmarkStart w:id="5" w:name="c2"/>
      <w:r>
        <w:instrText xml:space="preserve"> FORMTEXT </w:instrText>
      </w:r>
      <w:r w:rsidR="00422663">
        <w:fldChar w:fldCharType="separate"/>
      </w:r>
      <w:r>
        <w:rPr>
          <w:rFonts w:hint="eastAsia"/>
          <w:noProof/>
        </w:rPr>
        <w:t>国内贸易</w:t>
      </w:r>
      <w:r w:rsidR="00422663">
        <w:fldChar w:fldCharType="end"/>
      </w:r>
      <w:bookmarkEnd w:id="5"/>
      <w:r>
        <w:rPr>
          <w:rFonts w:hint="eastAsia"/>
        </w:rPr>
        <w:t>行业标准</w:t>
      </w:r>
    </w:p>
    <w:p w:rsidR="002D463C" w:rsidRDefault="00DE253F" w:rsidP="002D463C">
      <w:pPr>
        <w:pStyle w:val="2"/>
        <w:framePr w:wrap="around"/>
      </w:pPr>
      <w:r>
        <w:rPr>
          <w:rFonts w:ascii="Times New Roman" w:hint="eastAsia"/>
        </w:rPr>
        <w:t>SB</w:t>
      </w:r>
      <w:r w:rsidR="002D463C" w:rsidRPr="002D463C">
        <w:rPr>
          <w:rFonts w:ascii="Times New Roman"/>
        </w:rPr>
        <w:t xml:space="preserve">/T </w:t>
      </w:r>
      <w:r w:rsidR="00422663">
        <w:fldChar w:fldCharType="begin">
          <w:ffData>
            <w:name w:val="StdNo1"/>
            <w:enabled/>
            <w:calcOnExit w:val="0"/>
            <w:textInput>
              <w:default w:val="XXXXX"/>
            </w:textInput>
          </w:ffData>
        </w:fldChar>
      </w:r>
      <w:bookmarkStart w:id="6" w:name="StdNo1"/>
      <w:r w:rsidR="002D463C">
        <w:instrText xml:space="preserve"> FORMTEXT </w:instrText>
      </w:r>
      <w:r w:rsidR="00422663">
        <w:fldChar w:fldCharType="separate"/>
      </w:r>
      <w:r w:rsidR="00AD6F64">
        <w:t>XXXXX</w:t>
      </w:r>
      <w:r w:rsidR="00422663">
        <w:fldChar w:fldCharType="end"/>
      </w:r>
      <w:bookmarkEnd w:id="6"/>
      <w:r w:rsidR="002D463C">
        <w:t>—</w:t>
      </w:r>
      <w:r w:rsidR="00CD45B4">
        <w:rPr>
          <w:rFonts w:hint="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D463C" w:rsidTr="00073535">
        <w:tc>
          <w:tcPr>
            <w:tcW w:w="9356" w:type="dxa"/>
            <w:tcBorders>
              <w:top w:val="nil"/>
              <w:left w:val="nil"/>
              <w:bottom w:val="nil"/>
              <w:right w:val="nil"/>
            </w:tcBorders>
            <w:shd w:val="clear" w:color="auto" w:fill="auto"/>
          </w:tcPr>
          <w:p w:rsidR="002D463C" w:rsidRDefault="00046AE3" w:rsidP="00073535">
            <w:pPr>
              <w:pStyle w:val="afffa"/>
              <w:framePr w:wrap="around"/>
              <w:wordWrap w:val="0"/>
            </w:pPr>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422663">
              <w:fldChar w:fldCharType="begin">
                <w:ffData>
                  <w:name w:val="DT"/>
                  <w:enabled/>
                  <w:calcOnExit w:val="0"/>
                  <w:entryMacro w:val="ShowHelp4"/>
                  <w:textInput/>
                </w:ffData>
              </w:fldChar>
            </w:r>
            <w:bookmarkStart w:id="7" w:name="DT"/>
            <w:r w:rsidR="002D463C">
              <w:instrText xml:space="preserve"> FORMTEXT </w:instrText>
            </w:r>
            <w:r w:rsidR="00422663">
              <w:fldChar w:fldCharType="separate"/>
            </w:r>
            <w:r w:rsidR="002D463C">
              <w:rPr>
                <w:rFonts w:hint="eastAsia"/>
              </w:rPr>
              <w:t>代替 SB/T 10936—2012</w:t>
            </w:r>
            <w:r w:rsidR="00422663">
              <w:fldChar w:fldCharType="end"/>
            </w:r>
            <w:bookmarkEnd w:id="7"/>
          </w:p>
        </w:tc>
      </w:tr>
    </w:tbl>
    <w:p w:rsidR="002D463C" w:rsidRDefault="002D463C" w:rsidP="002D463C">
      <w:pPr>
        <w:pStyle w:val="2"/>
        <w:framePr w:wrap="around"/>
      </w:pPr>
    </w:p>
    <w:p w:rsidR="002D463C" w:rsidRDefault="002D463C" w:rsidP="002D463C">
      <w:pPr>
        <w:pStyle w:val="2"/>
        <w:framePr w:wrap="around"/>
      </w:pPr>
    </w:p>
    <w:p w:rsidR="002D463C" w:rsidRDefault="00422663" w:rsidP="002D463C">
      <w:pPr>
        <w:pStyle w:val="afffb"/>
        <w:framePr w:wrap="around"/>
      </w:pPr>
      <w:r>
        <w:fldChar w:fldCharType="begin">
          <w:ffData>
            <w:name w:val="StdName"/>
            <w:enabled/>
            <w:calcOnExit w:val="0"/>
            <w:textInput>
              <w:default w:val="点击此处添加标准名称"/>
            </w:textInput>
          </w:ffData>
        </w:fldChar>
      </w:r>
      <w:bookmarkStart w:id="8" w:name="StdName"/>
      <w:r w:rsidR="002D463C">
        <w:instrText xml:space="preserve"> FORMTEXT </w:instrText>
      </w:r>
      <w:r>
        <w:fldChar w:fldCharType="separate"/>
      </w:r>
      <w:r w:rsidR="002D463C">
        <w:rPr>
          <w:rFonts w:hint="eastAsia"/>
        </w:rPr>
        <w:t>轮胎电子商务交易服务经营规范</w:t>
      </w:r>
      <w:r>
        <w:fldChar w:fldCharType="end"/>
      </w:r>
      <w:bookmarkEnd w:id="8"/>
    </w:p>
    <w:p w:rsidR="002D463C" w:rsidRDefault="00422663" w:rsidP="002D463C">
      <w:pPr>
        <w:pStyle w:val="afffc"/>
        <w:framePr w:wrap="around"/>
      </w:pPr>
      <w:r>
        <w:fldChar w:fldCharType="begin">
          <w:ffData>
            <w:name w:val="StdEnglishName"/>
            <w:enabled/>
            <w:calcOnExit w:val="0"/>
            <w:textInput>
              <w:default w:val="点击此处添加标准英文译名"/>
            </w:textInput>
          </w:ffData>
        </w:fldChar>
      </w:r>
      <w:bookmarkStart w:id="9" w:name="StdEnglishName"/>
      <w:r w:rsidR="002D463C">
        <w:instrText xml:space="preserve"> FORMTEXT </w:instrText>
      </w:r>
      <w:r>
        <w:fldChar w:fldCharType="separate"/>
      </w:r>
      <w:r w:rsidR="002D463C">
        <w:rPr>
          <w:rFonts w:hint="eastAsia"/>
        </w:rPr>
        <w:t>Tyre management regulations of the e-commerce transaction services</w:t>
      </w:r>
      <w:r>
        <w:fldChar w:fldCharType="end"/>
      </w:r>
      <w:bookmarkEnd w:id="9"/>
    </w:p>
    <w:p w:rsidR="002D463C" w:rsidRPr="002D463C" w:rsidRDefault="00422663" w:rsidP="002D463C">
      <w:pPr>
        <w:pStyle w:val="afffd"/>
        <w:framePr w:wrap="around"/>
      </w:pPr>
      <w:r>
        <w:fldChar w:fldCharType="begin">
          <w:ffData>
            <w:name w:val="YZBS"/>
            <w:enabled/>
            <w:calcOnExit w:val="0"/>
            <w:textInput>
              <w:default w:val="点击此处添加与国际标准一致性程度的标识"/>
            </w:textInput>
          </w:ffData>
        </w:fldChar>
      </w:r>
      <w:bookmarkStart w:id="10" w:name="YZBS"/>
      <w:r w:rsidR="002D463C">
        <w:instrText xml:space="preserve"> FORMTEXT </w:instrText>
      </w:r>
      <w:r>
        <w:fldChar w:fldCharType="separate"/>
      </w:r>
      <w:r w:rsidR="00AD6F64">
        <w:t> </w:t>
      </w:r>
      <w:r w:rsidR="00AD6F64">
        <w:t> </w:t>
      </w:r>
      <w:r w:rsidR="00AD6F64">
        <w:t> </w:t>
      </w:r>
      <w:r w:rsidR="00AD6F64">
        <w:t> </w:t>
      </w:r>
      <w:r w:rsidR="00AD6F64">
        <w:t> </w:t>
      </w:r>
      <w:r>
        <w:fldChar w:fldCharType="end"/>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2D463C" w:rsidTr="00073535">
        <w:tc>
          <w:tcPr>
            <w:tcW w:w="9855" w:type="dxa"/>
            <w:tcBorders>
              <w:top w:val="nil"/>
              <w:left w:val="nil"/>
              <w:bottom w:val="nil"/>
              <w:right w:val="nil"/>
            </w:tcBorders>
            <w:shd w:val="clear" w:color="auto" w:fill="auto"/>
          </w:tcPr>
          <w:p w:rsidR="002D463C" w:rsidRDefault="00046AE3" w:rsidP="002D463C">
            <w:pPr>
              <w:pStyle w:val="afffe"/>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00422663">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rsidR="002D463C">
              <w:instrText xml:space="preserve"> FORMDROPDOWN </w:instrText>
            </w:r>
            <w:r w:rsidR="00EA6E4A">
              <w:fldChar w:fldCharType="separate"/>
            </w:r>
            <w:r w:rsidR="00422663">
              <w:fldChar w:fldCharType="end"/>
            </w:r>
            <w:bookmarkEnd w:id="11"/>
          </w:p>
        </w:tc>
      </w:tr>
      <w:tr w:rsidR="002D463C" w:rsidTr="00073535">
        <w:tc>
          <w:tcPr>
            <w:tcW w:w="9855" w:type="dxa"/>
            <w:tcBorders>
              <w:top w:val="nil"/>
              <w:left w:val="nil"/>
              <w:bottom w:val="nil"/>
              <w:right w:val="nil"/>
            </w:tcBorders>
            <w:shd w:val="clear" w:color="auto" w:fill="auto"/>
          </w:tcPr>
          <w:p w:rsidR="002D463C" w:rsidRDefault="00422663" w:rsidP="0009476E">
            <w:pPr>
              <w:pStyle w:val="affff"/>
              <w:framePr w:wrap="around"/>
            </w:pPr>
            <w:r>
              <w:fldChar w:fldCharType="begin">
                <w:ffData>
                  <w:name w:val="WCRQ"/>
                  <w:enabled/>
                  <w:calcOnExit w:val="0"/>
                  <w:textInput/>
                </w:ffData>
              </w:fldChar>
            </w:r>
            <w:bookmarkStart w:id="12" w:name="WCRQ"/>
            <w:r w:rsidR="002D463C">
              <w:instrText xml:space="preserve"> FORMTEXT </w:instrText>
            </w:r>
            <w:r>
              <w:fldChar w:fldCharType="separate"/>
            </w:r>
            <w:r w:rsidR="002D463C">
              <w:rPr>
                <w:rFonts w:hint="eastAsia"/>
              </w:rPr>
              <w:t>（本稿完成日期：20180</w:t>
            </w:r>
            <w:r w:rsidR="0009476E">
              <w:rPr>
                <w:rFonts w:hint="eastAsia"/>
              </w:rPr>
              <w:t>702</w:t>
            </w:r>
            <w:r w:rsidR="002D463C">
              <w:rPr>
                <w:rFonts w:hint="eastAsia"/>
              </w:rPr>
              <w:t>）</w:t>
            </w:r>
            <w:r>
              <w:fldChar w:fldCharType="end"/>
            </w:r>
            <w:bookmarkEnd w:id="12"/>
          </w:p>
        </w:tc>
      </w:tr>
    </w:tbl>
    <w:p w:rsidR="002D463C" w:rsidRDefault="00422663" w:rsidP="00CD45B4">
      <w:pPr>
        <w:pStyle w:val="affffff5"/>
        <w:framePr w:wrap="around" w:hAnchor="page" w:x="1601" w:y="14161"/>
      </w:pPr>
      <w:r w:rsidRPr="002D463C">
        <w:rPr>
          <w:rFonts w:ascii="黑体"/>
        </w:rPr>
        <w:fldChar w:fldCharType="begin">
          <w:ffData>
            <w:name w:val="FY"/>
            <w:enabled/>
            <w:calcOnExit w:val="0"/>
            <w:entryMacro w:val="ShowHelp8"/>
            <w:textInput>
              <w:default w:val="XXXX"/>
              <w:maxLength w:val="4"/>
            </w:textInput>
          </w:ffData>
        </w:fldChar>
      </w:r>
      <w:bookmarkStart w:id="13" w:name="FY"/>
      <w:r w:rsidR="002D463C" w:rsidRPr="002D463C">
        <w:rPr>
          <w:rFonts w:ascii="黑体"/>
        </w:rPr>
        <w:instrText xml:space="preserve"> FORMTEXT </w:instrText>
      </w:r>
      <w:r w:rsidRPr="002D463C">
        <w:rPr>
          <w:rFonts w:ascii="黑体"/>
        </w:rPr>
      </w:r>
      <w:r w:rsidRPr="002D463C">
        <w:rPr>
          <w:rFonts w:ascii="黑体"/>
        </w:rPr>
        <w:fldChar w:fldCharType="separate"/>
      </w:r>
      <w:r w:rsidR="00AD6F64">
        <w:rPr>
          <w:rFonts w:ascii="黑体"/>
        </w:rPr>
        <w:t>XXXX</w:t>
      </w:r>
      <w:r w:rsidRPr="002D463C">
        <w:rPr>
          <w:rFonts w:ascii="黑体"/>
        </w:rPr>
        <w:fldChar w:fldCharType="end"/>
      </w:r>
      <w:bookmarkEnd w:id="13"/>
      <w:r w:rsidR="002D463C">
        <w:t xml:space="preserve"> </w:t>
      </w:r>
      <w:r w:rsidR="002D463C" w:rsidRPr="002D463C">
        <w:rPr>
          <w:rFonts w:ascii="黑体"/>
        </w:rPr>
        <w:t>-</w:t>
      </w:r>
      <w:r w:rsidR="002D463C">
        <w:t xml:space="preserve"> </w:t>
      </w:r>
      <w:r w:rsidRPr="002D463C">
        <w:rPr>
          <w:rFonts w:ascii="黑体"/>
        </w:rPr>
        <w:fldChar w:fldCharType="begin">
          <w:ffData>
            <w:name w:val="FM"/>
            <w:enabled/>
            <w:calcOnExit w:val="0"/>
            <w:entryMacro w:val="ShowHelp8"/>
            <w:textInput>
              <w:default w:val="XX"/>
              <w:maxLength w:val="2"/>
            </w:textInput>
          </w:ffData>
        </w:fldChar>
      </w:r>
      <w:r w:rsidR="002D463C" w:rsidRPr="002D463C">
        <w:rPr>
          <w:rFonts w:ascii="黑体"/>
        </w:rPr>
        <w:instrText xml:space="preserve"> FORMTEXT </w:instrText>
      </w:r>
      <w:r w:rsidRPr="002D463C">
        <w:rPr>
          <w:rFonts w:ascii="黑体"/>
        </w:rPr>
      </w:r>
      <w:r w:rsidRPr="002D463C">
        <w:rPr>
          <w:rFonts w:ascii="黑体"/>
        </w:rPr>
        <w:fldChar w:fldCharType="separate"/>
      </w:r>
      <w:r w:rsidR="002D463C">
        <w:rPr>
          <w:rFonts w:ascii="黑体"/>
          <w:noProof/>
        </w:rPr>
        <w:t>XX</w:t>
      </w:r>
      <w:r w:rsidRPr="002D463C">
        <w:rPr>
          <w:rFonts w:ascii="黑体"/>
        </w:rPr>
        <w:fldChar w:fldCharType="end"/>
      </w:r>
      <w:r w:rsidR="002D463C">
        <w:t xml:space="preserve"> </w:t>
      </w:r>
      <w:r w:rsidR="002D463C" w:rsidRPr="002D463C">
        <w:rPr>
          <w:rFonts w:ascii="黑体"/>
        </w:rPr>
        <w:t>-</w:t>
      </w:r>
      <w:r w:rsidR="002D463C">
        <w:t xml:space="preserve"> </w:t>
      </w:r>
      <w:r w:rsidRPr="002D463C">
        <w:rPr>
          <w:rFonts w:ascii="黑体"/>
        </w:rPr>
        <w:fldChar w:fldCharType="begin">
          <w:ffData>
            <w:name w:val="FD"/>
            <w:enabled/>
            <w:calcOnExit w:val="0"/>
            <w:entryMacro w:val="ShowHelp8"/>
            <w:textInput>
              <w:default w:val="XX"/>
              <w:maxLength w:val="2"/>
            </w:textInput>
          </w:ffData>
        </w:fldChar>
      </w:r>
      <w:bookmarkStart w:id="14" w:name="FD"/>
      <w:r w:rsidR="002D463C" w:rsidRPr="002D463C">
        <w:rPr>
          <w:rFonts w:ascii="黑体"/>
        </w:rPr>
        <w:instrText xml:space="preserve"> FORMTEXT </w:instrText>
      </w:r>
      <w:r w:rsidRPr="002D463C">
        <w:rPr>
          <w:rFonts w:ascii="黑体"/>
        </w:rPr>
      </w:r>
      <w:r w:rsidRPr="002D463C">
        <w:rPr>
          <w:rFonts w:ascii="黑体"/>
        </w:rPr>
        <w:fldChar w:fldCharType="separate"/>
      </w:r>
      <w:r w:rsidR="002D463C">
        <w:rPr>
          <w:rFonts w:ascii="黑体"/>
          <w:noProof/>
        </w:rPr>
        <w:t>XX</w:t>
      </w:r>
      <w:r w:rsidRPr="002D463C">
        <w:rPr>
          <w:rFonts w:ascii="黑体"/>
        </w:rPr>
        <w:fldChar w:fldCharType="end"/>
      </w:r>
      <w:bookmarkEnd w:id="14"/>
      <w:r w:rsidR="002D463C">
        <w:rPr>
          <w:rFonts w:hint="eastAsia"/>
        </w:rPr>
        <w:t>发布</w:t>
      </w:r>
      <w:r w:rsidR="00046AE3">
        <w:rPr>
          <w:noProof/>
        </w:rPr>
        <mc:AlternateContent>
          <mc:Choice Requires="wps">
            <w:drawing>
              <wp:anchor distT="0" distB="0" distL="114300" distR="114300" simplePos="0" relativeHeight="251655168" behindDoc="0" locked="1" layoutInCell="1" allowOverlap="1">
                <wp:simplePos x="0" y="0"/>
                <wp:positionH relativeFrom="column">
                  <wp:posOffset>8255</wp:posOffset>
                </wp:positionH>
                <wp:positionV relativeFrom="page">
                  <wp:posOffset>9321800</wp:posOffset>
                </wp:positionV>
                <wp:extent cx="6120130" cy="0"/>
                <wp:effectExtent l="8255" t="6350" r="571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5pt,734pt" to="482.5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">
                <w10:wrap anchory="page"/>
                <w10:anchorlock/>
              </v:line>
            </w:pict>
          </mc:Fallback>
        </mc:AlternateContent>
      </w:r>
    </w:p>
    <w:p w:rsidR="002D463C" w:rsidRDefault="00422663" w:rsidP="00CD45B4">
      <w:pPr>
        <w:pStyle w:val="affffff6"/>
        <w:framePr w:wrap="around" w:hAnchor="page" w:x="7201" w:y="14161"/>
      </w:pPr>
      <w:r w:rsidRPr="002D463C">
        <w:rPr>
          <w:rFonts w:ascii="黑体"/>
        </w:rPr>
        <w:fldChar w:fldCharType="begin">
          <w:ffData>
            <w:name w:val="SY"/>
            <w:enabled/>
            <w:calcOnExit w:val="0"/>
            <w:entryMacro w:val="ShowHelp9"/>
            <w:textInput>
              <w:default w:val="XXXX"/>
              <w:maxLength w:val="4"/>
            </w:textInput>
          </w:ffData>
        </w:fldChar>
      </w:r>
      <w:bookmarkStart w:id="15" w:name="SY"/>
      <w:r w:rsidR="002D463C" w:rsidRPr="002D463C">
        <w:rPr>
          <w:rFonts w:ascii="黑体"/>
        </w:rPr>
        <w:instrText xml:space="preserve"> FORMTEXT </w:instrText>
      </w:r>
      <w:r w:rsidRPr="002D463C">
        <w:rPr>
          <w:rFonts w:ascii="黑体"/>
        </w:rPr>
      </w:r>
      <w:r w:rsidRPr="002D463C">
        <w:rPr>
          <w:rFonts w:ascii="黑体"/>
        </w:rPr>
        <w:fldChar w:fldCharType="separate"/>
      </w:r>
      <w:r w:rsidR="002D463C">
        <w:rPr>
          <w:rFonts w:ascii="黑体"/>
          <w:noProof/>
        </w:rPr>
        <w:t>XXXX</w:t>
      </w:r>
      <w:r w:rsidRPr="002D463C">
        <w:rPr>
          <w:rFonts w:ascii="黑体"/>
        </w:rPr>
        <w:fldChar w:fldCharType="end"/>
      </w:r>
      <w:bookmarkEnd w:id="15"/>
      <w:r w:rsidR="002D463C">
        <w:t xml:space="preserve"> </w:t>
      </w:r>
      <w:r w:rsidR="002D463C" w:rsidRPr="002D463C">
        <w:rPr>
          <w:rFonts w:ascii="黑体"/>
        </w:rPr>
        <w:t>-</w:t>
      </w:r>
      <w:r w:rsidR="002D463C">
        <w:t xml:space="preserve"> </w:t>
      </w:r>
      <w:r w:rsidRPr="002D463C">
        <w:rPr>
          <w:rFonts w:ascii="黑体"/>
        </w:rPr>
        <w:fldChar w:fldCharType="begin">
          <w:ffData>
            <w:name w:val="SM"/>
            <w:enabled/>
            <w:calcOnExit w:val="0"/>
            <w:entryMacro w:val="ShowHelp9"/>
            <w:textInput>
              <w:default w:val="XX"/>
              <w:maxLength w:val="2"/>
            </w:textInput>
          </w:ffData>
        </w:fldChar>
      </w:r>
      <w:bookmarkStart w:id="16" w:name="SM"/>
      <w:r w:rsidR="002D463C" w:rsidRPr="002D463C">
        <w:rPr>
          <w:rFonts w:ascii="黑体"/>
        </w:rPr>
        <w:instrText xml:space="preserve"> FORMTEXT </w:instrText>
      </w:r>
      <w:r w:rsidRPr="002D463C">
        <w:rPr>
          <w:rFonts w:ascii="黑体"/>
        </w:rPr>
      </w:r>
      <w:r w:rsidRPr="002D463C">
        <w:rPr>
          <w:rFonts w:ascii="黑体"/>
        </w:rPr>
        <w:fldChar w:fldCharType="separate"/>
      </w:r>
      <w:r w:rsidR="002D463C">
        <w:rPr>
          <w:rFonts w:ascii="黑体"/>
          <w:noProof/>
        </w:rPr>
        <w:t>XX</w:t>
      </w:r>
      <w:r w:rsidRPr="002D463C">
        <w:rPr>
          <w:rFonts w:ascii="黑体"/>
        </w:rPr>
        <w:fldChar w:fldCharType="end"/>
      </w:r>
      <w:bookmarkEnd w:id="16"/>
      <w:r w:rsidR="002D463C">
        <w:t xml:space="preserve"> </w:t>
      </w:r>
      <w:r w:rsidR="002D463C" w:rsidRPr="002D463C">
        <w:rPr>
          <w:rFonts w:ascii="黑体"/>
        </w:rPr>
        <w:t>-</w:t>
      </w:r>
      <w:r w:rsidR="002D463C">
        <w:t xml:space="preserve"> </w:t>
      </w:r>
      <w:r w:rsidRPr="002D463C">
        <w:rPr>
          <w:rFonts w:ascii="黑体"/>
        </w:rPr>
        <w:fldChar w:fldCharType="begin">
          <w:ffData>
            <w:name w:val="SD"/>
            <w:enabled/>
            <w:calcOnExit w:val="0"/>
            <w:entryMacro w:val="ShowHelp9"/>
            <w:textInput>
              <w:default w:val="XX"/>
              <w:maxLength w:val="2"/>
            </w:textInput>
          </w:ffData>
        </w:fldChar>
      </w:r>
      <w:bookmarkStart w:id="17" w:name="SD"/>
      <w:r w:rsidR="002D463C" w:rsidRPr="002D463C">
        <w:rPr>
          <w:rFonts w:ascii="黑体"/>
        </w:rPr>
        <w:instrText xml:space="preserve"> FORMTEXT </w:instrText>
      </w:r>
      <w:r w:rsidRPr="002D463C">
        <w:rPr>
          <w:rFonts w:ascii="黑体"/>
        </w:rPr>
      </w:r>
      <w:r w:rsidRPr="002D463C">
        <w:rPr>
          <w:rFonts w:ascii="黑体"/>
        </w:rPr>
        <w:fldChar w:fldCharType="separate"/>
      </w:r>
      <w:r w:rsidR="002D463C">
        <w:rPr>
          <w:rFonts w:ascii="黑体"/>
          <w:noProof/>
        </w:rPr>
        <w:t>XX</w:t>
      </w:r>
      <w:r w:rsidRPr="002D463C">
        <w:rPr>
          <w:rFonts w:ascii="黑体"/>
        </w:rPr>
        <w:fldChar w:fldCharType="end"/>
      </w:r>
      <w:bookmarkEnd w:id="17"/>
      <w:r w:rsidR="002D463C">
        <w:rPr>
          <w:rFonts w:hint="eastAsia"/>
        </w:rPr>
        <w:t>实施</w:t>
      </w:r>
    </w:p>
    <w:p w:rsidR="002D463C" w:rsidRDefault="00422663" w:rsidP="002D463C">
      <w:pPr>
        <w:pStyle w:val="afffff"/>
        <w:framePr w:wrap="around"/>
      </w:pPr>
      <w:r>
        <w:fldChar w:fldCharType="begin">
          <w:ffData>
            <w:name w:val="fm"/>
            <w:enabled/>
            <w:calcOnExit w:val="0"/>
            <w:textInput/>
          </w:ffData>
        </w:fldChar>
      </w:r>
      <w:bookmarkStart w:id="18" w:name="fm"/>
      <w:r w:rsidR="002D463C">
        <w:instrText xml:space="preserve"> FORMTEXT </w:instrText>
      </w:r>
      <w:r>
        <w:fldChar w:fldCharType="separate"/>
      </w:r>
      <w:r w:rsidR="002D463C">
        <w:rPr>
          <w:rFonts w:hint="eastAsia"/>
        </w:rPr>
        <w:t>中华人民共和国商务部</w:t>
      </w:r>
      <w:r>
        <w:fldChar w:fldCharType="end"/>
      </w:r>
      <w:bookmarkEnd w:id="18"/>
      <w:r w:rsidR="002D463C">
        <w:t> </w:t>
      </w:r>
      <w:r w:rsidR="002D463C">
        <w:t> </w:t>
      </w:r>
      <w:r w:rsidR="002D463C">
        <w:t> </w:t>
      </w:r>
      <w:r w:rsidR="002D463C" w:rsidRPr="002D463C">
        <w:rPr>
          <w:rStyle w:val="afff7"/>
          <w:rFonts w:hint="eastAsia"/>
        </w:rPr>
        <w:t>发布</w:t>
      </w:r>
    </w:p>
    <w:p w:rsidR="002D463C" w:rsidRPr="002D463C" w:rsidRDefault="00046AE3" w:rsidP="002D463C">
      <w:pPr>
        <w:pStyle w:val="aff6"/>
        <w:sectPr w:rsidR="002D463C" w:rsidRPr="002D463C" w:rsidSect="002D463C">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2D463C" w:rsidRDefault="002D463C" w:rsidP="002D463C">
      <w:pPr>
        <w:pStyle w:val="afffff0"/>
      </w:pPr>
      <w:r>
        <w:rPr>
          <w:rFonts w:hint="eastAsia"/>
        </w:rPr>
        <w:lastRenderedPageBreak/>
        <w:t>前</w:t>
      </w:r>
      <w:bookmarkStart w:id="19" w:name="BKQY"/>
      <w:r>
        <w:t> </w:t>
      </w:r>
      <w:r>
        <w:t> </w:t>
      </w:r>
      <w:r>
        <w:rPr>
          <w:rFonts w:hint="eastAsia"/>
        </w:rPr>
        <w:t>言</w:t>
      </w:r>
      <w:bookmarkEnd w:id="19"/>
    </w:p>
    <w:p w:rsidR="002D463C" w:rsidRPr="002D463C" w:rsidRDefault="002D463C" w:rsidP="00A54BB9">
      <w:pPr>
        <w:pStyle w:val="aff6"/>
        <w:rPr>
          <w:rFonts w:ascii="Times New Roman"/>
        </w:rPr>
      </w:pPr>
      <w:r w:rsidRPr="002D463C">
        <w:rPr>
          <w:rFonts w:ascii="Times New Roman" w:hint="eastAsia"/>
        </w:rPr>
        <w:t>本标准按</w:t>
      </w:r>
      <w:r w:rsidRPr="002D463C">
        <w:rPr>
          <w:rFonts w:ascii="Times New Roman" w:hint="eastAsia"/>
        </w:rPr>
        <w:t>GB/T 1.1</w:t>
      </w:r>
      <w:r w:rsidRPr="002D463C">
        <w:rPr>
          <w:rFonts w:ascii="Times New Roman" w:hint="eastAsia"/>
        </w:rPr>
        <w:t>—</w:t>
      </w:r>
      <w:r w:rsidRPr="002D463C">
        <w:rPr>
          <w:rFonts w:ascii="Times New Roman" w:hint="eastAsia"/>
        </w:rPr>
        <w:t>2009</w:t>
      </w:r>
      <w:r w:rsidRPr="002D463C">
        <w:rPr>
          <w:rFonts w:ascii="Times New Roman" w:hint="eastAsia"/>
        </w:rPr>
        <w:t>给出的规则起草。</w:t>
      </w:r>
    </w:p>
    <w:p w:rsidR="002D463C" w:rsidRPr="002D463C" w:rsidRDefault="002D463C" w:rsidP="00A54BB9">
      <w:pPr>
        <w:pStyle w:val="aff6"/>
        <w:rPr>
          <w:rFonts w:ascii="Times New Roman"/>
        </w:rPr>
      </w:pPr>
      <w:r w:rsidRPr="002D463C">
        <w:rPr>
          <w:rFonts w:ascii="Times New Roman" w:hint="eastAsia"/>
        </w:rPr>
        <w:t>本标准代替</w:t>
      </w:r>
      <w:r w:rsidRPr="002D463C">
        <w:rPr>
          <w:rFonts w:ascii="Times New Roman" w:hint="eastAsia"/>
        </w:rPr>
        <w:t>SB/T 10936</w:t>
      </w:r>
      <w:r w:rsidRPr="002D463C">
        <w:rPr>
          <w:rFonts w:ascii="Times New Roman" w:hint="eastAsia"/>
        </w:rPr>
        <w:t>—</w:t>
      </w:r>
      <w:r w:rsidRPr="002D463C">
        <w:rPr>
          <w:rFonts w:ascii="Times New Roman" w:hint="eastAsia"/>
        </w:rPr>
        <w:t>2012</w:t>
      </w:r>
      <w:r w:rsidRPr="002D463C">
        <w:rPr>
          <w:rFonts w:ascii="Times New Roman" w:hint="eastAsia"/>
        </w:rPr>
        <w:t>《轮胎网上交易服务经营规范》。</w:t>
      </w:r>
    </w:p>
    <w:p w:rsidR="002D463C" w:rsidRPr="002D463C" w:rsidRDefault="002D463C" w:rsidP="00A54BB9">
      <w:pPr>
        <w:pStyle w:val="aff6"/>
        <w:rPr>
          <w:rFonts w:ascii="Times New Roman"/>
        </w:rPr>
      </w:pPr>
      <w:r w:rsidRPr="002D463C">
        <w:rPr>
          <w:rFonts w:ascii="Times New Roman" w:hint="eastAsia"/>
        </w:rPr>
        <w:t>本标准与</w:t>
      </w:r>
      <w:r w:rsidRPr="002D463C">
        <w:rPr>
          <w:rFonts w:ascii="Times New Roman" w:hint="eastAsia"/>
        </w:rPr>
        <w:t>SB/T 10936</w:t>
      </w:r>
      <w:r w:rsidRPr="002D463C">
        <w:rPr>
          <w:rFonts w:ascii="Times New Roman" w:hint="eastAsia"/>
        </w:rPr>
        <w:t>—</w:t>
      </w:r>
      <w:r w:rsidRPr="002D463C">
        <w:rPr>
          <w:rFonts w:ascii="Times New Roman" w:hint="eastAsia"/>
        </w:rPr>
        <w:t>2012</w:t>
      </w:r>
      <w:r w:rsidRPr="002D463C">
        <w:rPr>
          <w:rFonts w:ascii="Times New Roman" w:hint="eastAsia"/>
        </w:rPr>
        <w:t>的主要差异如下：</w:t>
      </w:r>
    </w:p>
    <w:p w:rsidR="0009476E" w:rsidRPr="0009476E" w:rsidRDefault="0009476E" w:rsidP="0009476E">
      <w:pPr>
        <w:pStyle w:val="aff6"/>
        <w:rPr>
          <w:rFonts w:ascii="Times New Roman"/>
        </w:rPr>
      </w:pPr>
      <w:r w:rsidRPr="0009476E">
        <w:rPr>
          <w:rFonts w:ascii="Times New Roman" w:hint="eastAsia"/>
        </w:rPr>
        <w:t>——修改了标准名称为“轮胎电子商务交易服务经营规范”</w:t>
      </w:r>
    </w:p>
    <w:p w:rsidR="0009476E" w:rsidRPr="0009476E" w:rsidRDefault="0009476E" w:rsidP="0009476E">
      <w:pPr>
        <w:pStyle w:val="aff6"/>
        <w:rPr>
          <w:rFonts w:ascii="Times New Roman"/>
        </w:rPr>
      </w:pPr>
      <w:r w:rsidRPr="0009476E">
        <w:rPr>
          <w:rFonts w:ascii="Times New Roman" w:hint="eastAsia"/>
        </w:rPr>
        <w:t>——修改了标准适用“范围”，修改了“载重卡车轮胎”为“载重汽车轮胎”（见第</w:t>
      </w:r>
      <w:r w:rsidRPr="0009476E">
        <w:rPr>
          <w:rFonts w:ascii="Times New Roman" w:hint="eastAsia"/>
        </w:rPr>
        <w:t>1</w:t>
      </w:r>
      <w:r w:rsidRPr="0009476E">
        <w:rPr>
          <w:rFonts w:ascii="Times New Roman" w:hint="eastAsia"/>
        </w:rPr>
        <w:t>章）；</w:t>
      </w:r>
    </w:p>
    <w:p w:rsidR="0009476E" w:rsidRPr="0009476E" w:rsidRDefault="0009476E" w:rsidP="0009476E">
      <w:pPr>
        <w:pStyle w:val="aff6"/>
        <w:rPr>
          <w:rFonts w:ascii="Times New Roman"/>
        </w:rPr>
      </w:pPr>
      <w:r w:rsidRPr="0009476E">
        <w:rPr>
          <w:rFonts w:ascii="Times New Roman" w:hint="eastAsia"/>
        </w:rPr>
        <w:t>——修改了“轮胎安装服务商”的定义（见第</w:t>
      </w:r>
      <w:r w:rsidRPr="0009476E">
        <w:rPr>
          <w:rFonts w:ascii="Times New Roman" w:hint="eastAsia"/>
        </w:rPr>
        <w:t>3</w:t>
      </w:r>
      <w:r w:rsidRPr="0009476E">
        <w:rPr>
          <w:rFonts w:ascii="Times New Roman" w:hint="eastAsia"/>
        </w:rPr>
        <w:t>章</w:t>
      </w:r>
      <w:r w:rsidRPr="0009476E">
        <w:rPr>
          <w:rFonts w:ascii="Times New Roman" w:hint="eastAsia"/>
        </w:rPr>
        <w:t>3.5</w:t>
      </w:r>
      <w:r w:rsidRPr="0009476E">
        <w:rPr>
          <w:rFonts w:ascii="Times New Roman" w:hint="eastAsia"/>
        </w:rPr>
        <w:t>）；</w:t>
      </w:r>
    </w:p>
    <w:p w:rsidR="0009476E" w:rsidRPr="0009476E" w:rsidRDefault="0009476E" w:rsidP="0009476E">
      <w:pPr>
        <w:pStyle w:val="aff6"/>
        <w:rPr>
          <w:rFonts w:ascii="Times New Roman"/>
        </w:rPr>
      </w:pPr>
      <w:r w:rsidRPr="0009476E">
        <w:rPr>
          <w:rFonts w:ascii="Times New Roman" w:hint="eastAsia"/>
        </w:rPr>
        <w:t>——修改了“术语和定义”的引导语（见第</w:t>
      </w:r>
      <w:r w:rsidRPr="0009476E">
        <w:rPr>
          <w:rFonts w:ascii="Times New Roman" w:hint="eastAsia"/>
        </w:rPr>
        <w:t>3</w:t>
      </w:r>
      <w:r w:rsidRPr="0009476E">
        <w:rPr>
          <w:rFonts w:ascii="Times New Roman" w:hint="eastAsia"/>
        </w:rPr>
        <w:t>章）；</w:t>
      </w:r>
    </w:p>
    <w:p w:rsidR="00BA2293" w:rsidRDefault="0009476E" w:rsidP="00BA2293">
      <w:pPr>
        <w:pStyle w:val="aff6"/>
        <w:rPr>
          <w:rFonts w:ascii="Times New Roman"/>
        </w:rPr>
      </w:pPr>
      <w:r w:rsidRPr="0009476E">
        <w:rPr>
          <w:rFonts w:ascii="Times New Roman" w:hint="eastAsia"/>
        </w:rPr>
        <w:t>——修改了“术语和定义”里相关</w:t>
      </w:r>
      <w:r w:rsidR="00BA2293">
        <w:rPr>
          <w:rFonts w:ascii="Times New Roman" w:hint="eastAsia"/>
        </w:rPr>
        <w:t>术语和</w:t>
      </w:r>
      <w:r w:rsidRPr="0009476E">
        <w:rPr>
          <w:rFonts w:ascii="Times New Roman" w:hint="eastAsia"/>
        </w:rPr>
        <w:t>定义为“轮胎电子商务、轮胎电子商务经营者、轮胎电子</w:t>
      </w:r>
    </w:p>
    <w:p w:rsidR="0009476E" w:rsidRPr="0009476E" w:rsidRDefault="0009476E" w:rsidP="00BA2293">
      <w:pPr>
        <w:pStyle w:val="aff6"/>
        <w:ind w:firstLineChars="400" w:firstLine="840"/>
        <w:rPr>
          <w:rFonts w:ascii="Times New Roman"/>
        </w:rPr>
      </w:pPr>
      <w:r w:rsidRPr="0009476E">
        <w:rPr>
          <w:rFonts w:ascii="Times New Roman" w:hint="eastAsia"/>
        </w:rPr>
        <w:t>商务平台经营者、平台内轮胎电子商务经营者”（见第</w:t>
      </w:r>
      <w:r w:rsidRPr="0009476E">
        <w:rPr>
          <w:rFonts w:ascii="Times New Roman" w:hint="eastAsia"/>
        </w:rPr>
        <w:t>3</w:t>
      </w:r>
      <w:r w:rsidRPr="0009476E">
        <w:rPr>
          <w:rFonts w:ascii="Times New Roman" w:hint="eastAsia"/>
        </w:rPr>
        <w:t>章</w:t>
      </w:r>
      <w:r w:rsidRPr="0009476E">
        <w:rPr>
          <w:rFonts w:ascii="Times New Roman" w:hint="eastAsia"/>
        </w:rPr>
        <w:t>3.1</w:t>
      </w:r>
      <w:r w:rsidRPr="0009476E">
        <w:rPr>
          <w:rFonts w:ascii="Times New Roman" w:hint="eastAsia"/>
        </w:rPr>
        <w:t>、</w:t>
      </w:r>
      <w:r w:rsidRPr="0009476E">
        <w:rPr>
          <w:rFonts w:ascii="Times New Roman" w:hint="eastAsia"/>
        </w:rPr>
        <w:t>3.2</w:t>
      </w:r>
      <w:r w:rsidRPr="0009476E">
        <w:rPr>
          <w:rFonts w:ascii="Times New Roman" w:hint="eastAsia"/>
        </w:rPr>
        <w:t>、</w:t>
      </w:r>
      <w:r w:rsidRPr="0009476E">
        <w:rPr>
          <w:rFonts w:ascii="Times New Roman" w:hint="eastAsia"/>
        </w:rPr>
        <w:t>3.3</w:t>
      </w:r>
      <w:r w:rsidRPr="0009476E">
        <w:rPr>
          <w:rFonts w:ascii="Times New Roman" w:hint="eastAsia"/>
        </w:rPr>
        <w:t>、</w:t>
      </w:r>
      <w:r w:rsidRPr="0009476E">
        <w:rPr>
          <w:rFonts w:ascii="Times New Roman" w:hint="eastAsia"/>
        </w:rPr>
        <w:t>3.4</w:t>
      </w:r>
      <w:r w:rsidRPr="0009476E">
        <w:rPr>
          <w:rFonts w:ascii="Times New Roman" w:hint="eastAsia"/>
        </w:rPr>
        <w:t>）；</w:t>
      </w:r>
    </w:p>
    <w:p w:rsidR="0009476E" w:rsidRPr="0009476E" w:rsidRDefault="0009476E" w:rsidP="0009476E">
      <w:pPr>
        <w:pStyle w:val="aff6"/>
        <w:rPr>
          <w:rFonts w:ascii="Times New Roman"/>
        </w:rPr>
      </w:pPr>
      <w:r w:rsidRPr="0009476E">
        <w:rPr>
          <w:rFonts w:ascii="Times New Roman" w:hint="eastAsia"/>
        </w:rPr>
        <w:t>——调整了“标准”逻辑关系及相关内容（见第</w:t>
      </w:r>
      <w:r w:rsidRPr="0009476E">
        <w:rPr>
          <w:rFonts w:ascii="Times New Roman" w:hint="eastAsia"/>
        </w:rPr>
        <w:t>4</w:t>
      </w:r>
      <w:r w:rsidRPr="0009476E">
        <w:rPr>
          <w:rFonts w:ascii="Times New Roman" w:hint="eastAsia"/>
        </w:rPr>
        <w:t>章、第</w:t>
      </w:r>
      <w:r w:rsidRPr="0009476E">
        <w:rPr>
          <w:rFonts w:ascii="Times New Roman" w:hint="eastAsia"/>
        </w:rPr>
        <w:t>5</w:t>
      </w:r>
      <w:r w:rsidRPr="0009476E">
        <w:rPr>
          <w:rFonts w:ascii="Times New Roman" w:hint="eastAsia"/>
        </w:rPr>
        <w:t>章）；</w:t>
      </w:r>
    </w:p>
    <w:p w:rsidR="0009476E" w:rsidRPr="0009476E" w:rsidRDefault="0009476E" w:rsidP="0009476E">
      <w:pPr>
        <w:pStyle w:val="aff6"/>
        <w:rPr>
          <w:rFonts w:ascii="Times New Roman"/>
        </w:rPr>
      </w:pPr>
      <w:r w:rsidRPr="0009476E">
        <w:rPr>
          <w:rFonts w:ascii="Times New Roman" w:hint="eastAsia"/>
        </w:rPr>
        <w:t>——增加“规范性引用文件”（见第</w:t>
      </w:r>
      <w:r w:rsidRPr="0009476E">
        <w:rPr>
          <w:rFonts w:ascii="Times New Roman" w:hint="eastAsia"/>
        </w:rPr>
        <w:t>2</w:t>
      </w:r>
      <w:r w:rsidRPr="0009476E">
        <w:rPr>
          <w:rFonts w:ascii="Times New Roman" w:hint="eastAsia"/>
        </w:rPr>
        <w:t>章）；</w:t>
      </w:r>
    </w:p>
    <w:p w:rsidR="0009476E" w:rsidRPr="0009476E" w:rsidRDefault="0009476E" w:rsidP="0009476E">
      <w:pPr>
        <w:pStyle w:val="aff6"/>
        <w:rPr>
          <w:rFonts w:ascii="Times New Roman"/>
        </w:rPr>
      </w:pPr>
      <w:r w:rsidRPr="0009476E">
        <w:rPr>
          <w:rFonts w:ascii="Times New Roman" w:hint="eastAsia"/>
        </w:rPr>
        <w:t>——完善了“交易纠纷处理”（见第</w:t>
      </w:r>
      <w:r w:rsidRPr="0009476E">
        <w:rPr>
          <w:rFonts w:ascii="Times New Roman" w:hint="eastAsia"/>
        </w:rPr>
        <w:t>7</w:t>
      </w:r>
      <w:r w:rsidRPr="0009476E">
        <w:rPr>
          <w:rFonts w:ascii="Times New Roman" w:hint="eastAsia"/>
        </w:rPr>
        <w:t>章）；</w:t>
      </w:r>
    </w:p>
    <w:p w:rsidR="0009476E" w:rsidRPr="0009476E" w:rsidRDefault="0009476E" w:rsidP="0009476E">
      <w:pPr>
        <w:pStyle w:val="aff6"/>
        <w:rPr>
          <w:rFonts w:ascii="Times New Roman"/>
        </w:rPr>
      </w:pPr>
      <w:r w:rsidRPr="0009476E">
        <w:rPr>
          <w:rFonts w:ascii="Times New Roman" w:hint="eastAsia"/>
        </w:rPr>
        <w:t>——删除了“服务对象”（见</w:t>
      </w:r>
      <w:r w:rsidRPr="0009476E">
        <w:rPr>
          <w:rFonts w:ascii="Times New Roman" w:hint="eastAsia"/>
        </w:rPr>
        <w:t>2012</w:t>
      </w:r>
      <w:r w:rsidRPr="0009476E">
        <w:rPr>
          <w:rFonts w:ascii="Times New Roman" w:hint="eastAsia"/>
        </w:rPr>
        <w:t>年版的</w:t>
      </w:r>
      <w:r w:rsidRPr="0009476E">
        <w:rPr>
          <w:rFonts w:ascii="Times New Roman" w:hint="eastAsia"/>
        </w:rPr>
        <w:t>3.2</w:t>
      </w:r>
      <w:r w:rsidRPr="0009476E">
        <w:rPr>
          <w:rFonts w:ascii="Times New Roman" w:hint="eastAsia"/>
        </w:rPr>
        <w:t>）；</w:t>
      </w:r>
    </w:p>
    <w:p w:rsidR="002D463C" w:rsidRPr="002D463C" w:rsidRDefault="0009476E" w:rsidP="0009476E">
      <w:pPr>
        <w:pStyle w:val="aff6"/>
        <w:rPr>
          <w:rFonts w:ascii="Times New Roman"/>
        </w:rPr>
      </w:pPr>
      <w:r w:rsidRPr="0009476E">
        <w:rPr>
          <w:rFonts w:ascii="Times New Roman" w:hint="eastAsia"/>
        </w:rPr>
        <w:t>——删除了“产品宣传的知识产权方”（见</w:t>
      </w:r>
      <w:r w:rsidRPr="0009476E">
        <w:rPr>
          <w:rFonts w:ascii="Times New Roman" w:hint="eastAsia"/>
        </w:rPr>
        <w:t>2012</w:t>
      </w:r>
      <w:r w:rsidRPr="0009476E">
        <w:rPr>
          <w:rFonts w:ascii="Times New Roman" w:hint="eastAsia"/>
        </w:rPr>
        <w:t>年版的</w:t>
      </w:r>
      <w:r w:rsidRPr="0009476E">
        <w:rPr>
          <w:rFonts w:ascii="Times New Roman" w:hint="eastAsia"/>
        </w:rPr>
        <w:t>3.4.4</w:t>
      </w:r>
      <w:r w:rsidRPr="0009476E">
        <w:rPr>
          <w:rFonts w:ascii="Times New Roman" w:hint="eastAsia"/>
        </w:rPr>
        <w:t>）</w:t>
      </w:r>
    </w:p>
    <w:p w:rsidR="002D463C" w:rsidRPr="002D463C" w:rsidRDefault="002D463C" w:rsidP="00A54BB9">
      <w:pPr>
        <w:pStyle w:val="aff6"/>
        <w:rPr>
          <w:rFonts w:ascii="Times New Roman"/>
        </w:rPr>
      </w:pPr>
      <w:r w:rsidRPr="002D463C">
        <w:rPr>
          <w:rFonts w:ascii="Times New Roman" w:hint="eastAsia"/>
        </w:rPr>
        <w:t>本标准由</w:t>
      </w:r>
      <w:r w:rsidR="00AD6F64">
        <w:rPr>
          <w:rFonts w:ascii="Times New Roman" w:hint="eastAsia"/>
        </w:rPr>
        <w:t>中国橡胶工业协会</w:t>
      </w:r>
      <w:r w:rsidRPr="002D463C">
        <w:rPr>
          <w:rFonts w:ascii="Times New Roman" w:hint="eastAsia"/>
        </w:rPr>
        <w:t>提出。</w:t>
      </w:r>
    </w:p>
    <w:p w:rsidR="002D463C" w:rsidRPr="002D463C" w:rsidRDefault="002D463C" w:rsidP="00A54BB9">
      <w:pPr>
        <w:pStyle w:val="aff6"/>
        <w:rPr>
          <w:rFonts w:ascii="Times New Roman"/>
        </w:rPr>
      </w:pPr>
      <w:r w:rsidRPr="002D463C">
        <w:rPr>
          <w:rFonts w:ascii="Times New Roman" w:hint="eastAsia"/>
        </w:rPr>
        <w:t>本标准由</w:t>
      </w:r>
      <w:r w:rsidR="00AD6F64">
        <w:rPr>
          <w:rFonts w:ascii="Times New Roman" w:hint="eastAsia"/>
        </w:rPr>
        <w:t>中国橡胶工业协会营销工作委员会</w:t>
      </w:r>
      <w:r w:rsidRPr="002D463C">
        <w:rPr>
          <w:rFonts w:ascii="Times New Roman" w:hint="eastAsia"/>
        </w:rPr>
        <w:t>归口。</w:t>
      </w:r>
    </w:p>
    <w:p w:rsidR="002D463C" w:rsidRPr="002D463C" w:rsidRDefault="002D463C" w:rsidP="00A54BB9">
      <w:pPr>
        <w:pStyle w:val="aff6"/>
        <w:rPr>
          <w:rFonts w:ascii="Times New Roman"/>
        </w:rPr>
      </w:pPr>
      <w:r w:rsidRPr="002D463C">
        <w:rPr>
          <w:rFonts w:ascii="Times New Roman" w:hint="eastAsia"/>
        </w:rPr>
        <w:t>本标准由</w:t>
      </w:r>
      <w:r w:rsidR="00AD6F64">
        <w:rPr>
          <w:rFonts w:ascii="Times New Roman" w:hint="eastAsia"/>
        </w:rPr>
        <w:t>中国橡胶工业协会营销工作委员会</w:t>
      </w:r>
      <w:r w:rsidRPr="002D463C">
        <w:rPr>
          <w:rFonts w:ascii="Times New Roman" w:hint="eastAsia"/>
        </w:rPr>
        <w:t>负责解释。</w:t>
      </w:r>
    </w:p>
    <w:p w:rsidR="002D463C" w:rsidRPr="002D463C" w:rsidRDefault="002D463C" w:rsidP="00A54BB9">
      <w:pPr>
        <w:pStyle w:val="aff6"/>
        <w:rPr>
          <w:rFonts w:ascii="Times New Roman"/>
        </w:rPr>
      </w:pPr>
      <w:r w:rsidRPr="002D463C">
        <w:rPr>
          <w:rFonts w:ascii="Times New Roman" w:hint="eastAsia"/>
        </w:rPr>
        <w:t>本标准主要起草单位：</w:t>
      </w:r>
      <w:r w:rsidR="0098473E" w:rsidRPr="0098473E">
        <w:rPr>
          <w:rFonts w:ascii="Times New Roman" w:hint="eastAsia"/>
        </w:rPr>
        <w:t>中国橡胶工业协会、上海阑途信息技术有限公司、中策橡胶集团有限公司、三角轮胎股份有限公司、佳通轮胎（中国）投资有限公司、普利司通（中国）投资有限公司、北京正强新世纪国际贸易有限公司、河南豫德隆商贸有限公司、沈阳瑞华轮胎有限公司、云南集力工贸有限公司、青岛达沃特轮胎有限公司</w:t>
      </w:r>
      <w:r w:rsidRPr="002D463C">
        <w:rPr>
          <w:rFonts w:ascii="Times New Roman" w:hint="eastAsia"/>
        </w:rPr>
        <w:t>。</w:t>
      </w:r>
    </w:p>
    <w:p w:rsidR="002D463C" w:rsidRPr="002D463C" w:rsidRDefault="002D463C" w:rsidP="00A54BB9">
      <w:pPr>
        <w:pStyle w:val="aff6"/>
        <w:rPr>
          <w:rFonts w:ascii="Times New Roman"/>
        </w:rPr>
      </w:pPr>
      <w:r w:rsidRPr="002D463C">
        <w:rPr>
          <w:rFonts w:ascii="Times New Roman" w:hint="eastAsia"/>
        </w:rPr>
        <w:t>本标准主要起草人：</w:t>
      </w:r>
      <w:r w:rsidR="0098473E" w:rsidRPr="0098473E">
        <w:rPr>
          <w:rFonts w:ascii="Times New Roman" w:hint="eastAsia"/>
        </w:rPr>
        <w:t>雷昌纯、胡晓东、王卫东、尚卫东、孙振威、潘卓强、柴宝柱、靳鹏辉、朱仁恩、王传承</w:t>
      </w:r>
      <w:r w:rsidR="00AD6F64">
        <w:rPr>
          <w:rFonts w:ascii="Times New Roman" w:hint="eastAsia"/>
        </w:rPr>
        <w:t>等</w:t>
      </w:r>
      <w:r w:rsidRPr="002D463C">
        <w:rPr>
          <w:rFonts w:ascii="Times New Roman" w:hint="eastAsia"/>
        </w:rPr>
        <w:t>。</w:t>
      </w:r>
    </w:p>
    <w:p w:rsidR="002D463C" w:rsidRPr="002D463C" w:rsidRDefault="002D463C" w:rsidP="00A54BB9">
      <w:pPr>
        <w:pStyle w:val="aff6"/>
        <w:rPr>
          <w:rFonts w:ascii="Times New Roman"/>
        </w:rPr>
      </w:pPr>
      <w:r w:rsidRPr="002D463C">
        <w:rPr>
          <w:rFonts w:ascii="Times New Roman" w:hint="eastAsia"/>
        </w:rPr>
        <w:t>本标准于</w:t>
      </w:r>
      <w:r w:rsidRPr="002D463C">
        <w:rPr>
          <w:rFonts w:ascii="Times New Roman" w:hint="eastAsia"/>
        </w:rPr>
        <w:t>2012</w:t>
      </w:r>
      <w:r w:rsidRPr="002D463C">
        <w:rPr>
          <w:rFonts w:ascii="Times New Roman" w:hint="eastAsia"/>
        </w:rPr>
        <w:t>年首次发布，本次为第一次修订。</w:t>
      </w:r>
    </w:p>
    <w:p w:rsidR="002D463C" w:rsidRPr="002D463C" w:rsidRDefault="002D463C" w:rsidP="002D463C">
      <w:pPr>
        <w:pStyle w:val="aff6"/>
        <w:sectPr w:rsidR="002D463C" w:rsidRPr="002D463C" w:rsidSect="002D463C">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Default="002D463C" w:rsidP="002D463C">
      <w:pPr>
        <w:pStyle w:val="aff9"/>
      </w:pPr>
      <w:r>
        <w:rPr>
          <w:rFonts w:hint="eastAsia"/>
        </w:rPr>
        <w:lastRenderedPageBreak/>
        <w:t>轮</w:t>
      </w:r>
      <w:bookmarkStart w:id="20" w:name="StandardName"/>
      <w:r>
        <w:rPr>
          <w:rFonts w:hint="eastAsia"/>
        </w:rPr>
        <w:t>胎电子商务交易服务经营规范</w:t>
      </w:r>
      <w:bookmarkEnd w:id="20"/>
    </w:p>
    <w:p w:rsidR="00F34B99" w:rsidRDefault="00F34B99" w:rsidP="0098473E">
      <w:pPr>
        <w:pStyle w:val="a4"/>
        <w:spacing w:before="312" w:after="312"/>
      </w:pPr>
      <w:r>
        <w:rPr>
          <w:rFonts w:hint="eastAsia"/>
        </w:rPr>
        <w:t>范围</w:t>
      </w:r>
    </w:p>
    <w:p w:rsidR="002D463C" w:rsidRDefault="003E6732" w:rsidP="002D463C">
      <w:pPr>
        <w:pStyle w:val="aff6"/>
      </w:pPr>
      <w:r w:rsidRPr="003E6732">
        <w:rPr>
          <w:rFonts w:hint="eastAsia"/>
        </w:rPr>
        <w:t>本标准规定了轿车轮胎、载重汽车轮胎及工程机械轮胎电子商务经营者和电子商务平台经营者的要求。</w:t>
      </w:r>
    </w:p>
    <w:p w:rsidR="00F34B99" w:rsidRDefault="003E6732" w:rsidP="002D463C">
      <w:pPr>
        <w:pStyle w:val="aff6"/>
      </w:pPr>
      <w:r w:rsidRPr="003E6732">
        <w:rPr>
          <w:rFonts w:hint="eastAsia"/>
        </w:rPr>
        <w:t>本标准适用于通过互联网（含移动互联网）等信息网络销售轿车轮胎、载重汽车轮胎、工程机械轮胎或提供服务的经营活动。</w:t>
      </w:r>
    </w:p>
    <w:p w:rsidR="00F34B99" w:rsidRDefault="00F34B99" w:rsidP="0098473E">
      <w:pPr>
        <w:pStyle w:val="a4"/>
        <w:spacing w:before="312" w:after="312"/>
      </w:pPr>
      <w:r>
        <w:rPr>
          <w:rFonts w:hint="eastAsia"/>
        </w:rPr>
        <w:t>规范性引用文件</w:t>
      </w:r>
    </w:p>
    <w:p w:rsidR="00F34B99" w:rsidRDefault="00F34B99" w:rsidP="00F34B99">
      <w:pPr>
        <w:pStyle w:val="aff6"/>
      </w:pPr>
      <w:r>
        <w:rPr>
          <w:rFonts w:hint="eastAsia"/>
        </w:rPr>
        <w:t>下列文件对于本文件的应用是必不可少的。凡是注日期的引用文件，仅所注日期的版本适用于本文件。凡是不注日期的引用文件，其最新版本（包括所有的修改单）适用于本文件。</w:t>
      </w:r>
    </w:p>
    <w:p w:rsidR="002D463C" w:rsidRPr="002D463C" w:rsidRDefault="002D463C" w:rsidP="002D463C">
      <w:pPr>
        <w:pStyle w:val="aff6"/>
        <w:rPr>
          <w:rFonts w:ascii="Times New Roman"/>
        </w:rPr>
      </w:pPr>
      <w:r w:rsidRPr="002D463C">
        <w:rPr>
          <w:rFonts w:ascii="Times New Roman" w:hint="eastAsia"/>
        </w:rPr>
        <w:t xml:space="preserve">GB/T 6326   </w:t>
      </w:r>
      <w:r w:rsidRPr="002D463C">
        <w:rPr>
          <w:rFonts w:ascii="Times New Roman" w:hint="eastAsia"/>
        </w:rPr>
        <w:t>轮胎术语及其定义</w:t>
      </w:r>
    </w:p>
    <w:p w:rsidR="002D463C" w:rsidRPr="002D463C" w:rsidRDefault="002D463C" w:rsidP="002D463C">
      <w:pPr>
        <w:pStyle w:val="aff6"/>
        <w:rPr>
          <w:rFonts w:ascii="Times New Roman"/>
        </w:rPr>
      </w:pPr>
      <w:r w:rsidRPr="002D463C">
        <w:rPr>
          <w:rFonts w:ascii="Times New Roman" w:hint="eastAsia"/>
        </w:rPr>
        <w:t xml:space="preserve">SB/T 10468.1 </w:t>
      </w:r>
      <w:r w:rsidRPr="002D463C">
        <w:rPr>
          <w:rFonts w:ascii="Times New Roman" w:hint="eastAsia"/>
        </w:rPr>
        <w:t>轮胎营销管理规范</w:t>
      </w:r>
    </w:p>
    <w:p w:rsidR="002D463C" w:rsidRPr="002D463C" w:rsidRDefault="002D463C" w:rsidP="002D463C">
      <w:pPr>
        <w:pStyle w:val="aff6"/>
        <w:rPr>
          <w:rFonts w:ascii="Times New Roman"/>
        </w:rPr>
      </w:pPr>
      <w:r w:rsidRPr="002D463C">
        <w:rPr>
          <w:rFonts w:ascii="Times New Roman" w:hint="eastAsia"/>
        </w:rPr>
        <w:t xml:space="preserve">SB/T 10468.2 </w:t>
      </w:r>
      <w:r w:rsidRPr="002D463C">
        <w:rPr>
          <w:rFonts w:ascii="Times New Roman" w:hint="eastAsia"/>
        </w:rPr>
        <w:t>轮胎理赔技术规范</w:t>
      </w:r>
    </w:p>
    <w:p w:rsidR="00F34B99" w:rsidRDefault="002D463C" w:rsidP="002D463C">
      <w:pPr>
        <w:pStyle w:val="aff6"/>
        <w:rPr>
          <w:rFonts w:ascii="Times New Roman"/>
        </w:rPr>
      </w:pPr>
      <w:r w:rsidRPr="002D463C">
        <w:rPr>
          <w:rFonts w:ascii="Times New Roman" w:hint="eastAsia"/>
        </w:rPr>
        <w:t xml:space="preserve">HG/T 4956   </w:t>
      </w:r>
      <w:r w:rsidRPr="002D463C">
        <w:rPr>
          <w:rFonts w:ascii="Times New Roman" w:hint="eastAsia"/>
        </w:rPr>
        <w:t>轮胎用射频识别（</w:t>
      </w:r>
      <w:r w:rsidRPr="002D463C">
        <w:rPr>
          <w:rFonts w:ascii="Times New Roman" w:hint="eastAsia"/>
        </w:rPr>
        <w:t>RFID</w:t>
      </w:r>
      <w:r w:rsidRPr="002D463C">
        <w:rPr>
          <w:rFonts w:ascii="Times New Roman" w:hint="eastAsia"/>
        </w:rPr>
        <w:t>）电子标签编码</w:t>
      </w:r>
    </w:p>
    <w:p w:rsidR="003E6732" w:rsidRDefault="003E6732" w:rsidP="002D463C">
      <w:pPr>
        <w:pStyle w:val="aff6"/>
        <w:rPr>
          <w:rFonts w:ascii="Times New Roman"/>
        </w:rPr>
      </w:pPr>
      <w:r w:rsidRPr="003E6732">
        <w:rPr>
          <w:rFonts w:ascii="Times New Roman" w:hint="eastAsia"/>
        </w:rPr>
        <w:t>GB/T 31524</w:t>
      </w:r>
      <w:r w:rsidR="0020559A" w:rsidRPr="002D463C">
        <w:rPr>
          <w:rFonts w:ascii="Times New Roman" w:hint="eastAsia"/>
        </w:rPr>
        <w:t>—</w:t>
      </w:r>
      <w:r w:rsidRPr="003E6732">
        <w:rPr>
          <w:rFonts w:ascii="Times New Roman" w:hint="eastAsia"/>
        </w:rPr>
        <w:t xml:space="preserve">2015  </w:t>
      </w:r>
      <w:r w:rsidRPr="003E6732">
        <w:rPr>
          <w:rFonts w:ascii="Times New Roman" w:hint="eastAsia"/>
        </w:rPr>
        <w:t>电子商务平台运营与技术规范</w:t>
      </w:r>
    </w:p>
    <w:p w:rsidR="002D463C" w:rsidRDefault="002D463C" w:rsidP="0098473E">
      <w:pPr>
        <w:pStyle w:val="a4"/>
        <w:spacing w:before="312" w:after="312"/>
      </w:pPr>
      <w:r w:rsidRPr="002D463C">
        <w:rPr>
          <w:rFonts w:hint="eastAsia"/>
        </w:rPr>
        <w:t>术语和定义</w:t>
      </w:r>
    </w:p>
    <w:p w:rsidR="002D463C" w:rsidRDefault="002D463C" w:rsidP="002D463C">
      <w:pPr>
        <w:pStyle w:val="aff6"/>
        <w:rPr>
          <w:rFonts w:ascii="Times New Roman"/>
        </w:rPr>
      </w:pPr>
      <w:r w:rsidRPr="002D463C">
        <w:rPr>
          <w:rFonts w:ascii="Times New Roman" w:hint="eastAsia"/>
        </w:rPr>
        <w:t>GB/T 6326</w:t>
      </w:r>
      <w:r w:rsidRPr="002D463C">
        <w:rPr>
          <w:rFonts w:ascii="Times New Roman" w:hint="eastAsia"/>
        </w:rPr>
        <w:t>、</w:t>
      </w:r>
      <w:r w:rsidRPr="002D463C">
        <w:rPr>
          <w:rFonts w:ascii="Times New Roman" w:hint="eastAsia"/>
        </w:rPr>
        <w:t>SB/T 10468.1</w:t>
      </w:r>
      <w:r w:rsidRPr="002D463C">
        <w:rPr>
          <w:rFonts w:ascii="Times New Roman" w:hint="eastAsia"/>
        </w:rPr>
        <w:t>、</w:t>
      </w:r>
      <w:r w:rsidRPr="002D463C">
        <w:rPr>
          <w:rFonts w:ascii="Times New Roman" w:hint="eastAsia"/>
        </w:rPr>
        <w:t>SB/T 10468.2</w:t>
      </w:r>
      <w:r w:rsidRPr="002D463C">
        <w:rPr>
          <w:rFonts w:ascii="Times New Roman" w:hint="eastAsia"/>
        </w:rPr>
        <w:t>界定的以及下列术语和定义适用于本文件。</w:t>
      </w:r>
    </w:p>
    <w:p w:rsidR="002D463C" w:rsidRDefault="002D463C" w:rsidP="0098473E">
      <w:pPr>
        <w:pStyle w:val="a5"/>
        <w:spacing w:before="156" w:after="156"/>
      </w:pPr>
    </w:p>
    <w:p w:rsidR="006A7850" w:rsidRPr="000A1354" w:rsidRDefault="003E6732" w:rsidP="006A7850">
      <w:pPr>
        <w:pStyle w:val="aff6"/>
        <w:rPr>
          <w:rFonts w:ascii="Times New Roman" w:eastAsia="黑体"/>
        </w:rPr>
      </w:pPr>
      <w:r w:rsidRPr="003E6732">
        <w:rPr>
          <w:rFonts w:ascii="Times New Roman" w:eastAsia="黑体" w:hint="eastAsia"/>
        </w:rPr>
        <w:t>轮胎电子商务</w:t>
      </w:r>
      <w:r w:rsidRPr="003E6732">
        <w:rPr>
          <w:rFonts w:ascii="Times New Roman" w:eastAsia="黑体" w:hint="eastAsia"/>
        </w:rPr>
        <w:t xml:space="preserve"> tyre e-commerce</w:t>
      </w:r>
    </w:p>
    <w:p w:rsidR="002D463C" w:rsidRDefault="003E6732" w:rsidP="006A7850">
      <w:pPr>
        <w:pStyle w:val="aff6"/>
        <w:rPr>
          <w:rFonts w:ascii="Times New Roman"/>
        </w:rPr>
      </w:pPr>
      <w:r w:rsidRPr="003E6732">
        <w:rPr>
          <w:rFonts w:ascii="Times New Roman" w:hint="eastAsia"/>
        </w:rPr>
        <w:t>是指通过互联网等信息网络进行轮胎交易或轮胎服务交易的经营活动。</w:t>
      </w:r>
    </w:p>
    <w:p w:rsidR="00C30FE6" w:rsidRDefault="00C30FE6" w:rsidP="0098473E">
      <w:pPr>
        <w:pStyle w:val="a5"/>
        <w:spacing w:before="156" w:after="156"/>
      </w:pPr>
    </w:p>
    <w:p w:rsidR="00C30FE6" w:rsidRPr="000A1354" w:rsidRDefault="003E6732" w:rsidP="00C30FE6">
      <w:pPr>
        <w:pStyle w:val="aff6"/>
        <w:rPr>
          <w:rFonts w:ascii="Times New Roman" w:eastAsia="黑体"/>
        </w:rPr>
      </w:pPr>
      <w:r w:rsidRPr="003E6732">
        <w:rPr>
          <w:rFonts w:ascii="Times New Roman" w:eastAsia="黑体" w:hint="eastAsia"/>
        </w:rPr>
        <w:t>轮胎电子商务经营者</w:t>
      </w:r>
      <w:r w:rsidRPr="003E6732">
        <w:rPr>
          <w:rFonts w:ascii="Times New Roman" w:eastAsia="黑体" w:hint="eastAsia"/>
        </w:rPr>
        <w:t xml:space="preserve"> tyre e-commerce operator</w:t>
      </w:r>
    </w:p>
    <w:p w:rsidR="00C30FE6" w:rsidRDefault="003E6732" w:rsidP="00C30FE6">
      <w:pPr>
        <w:pStyle w:val="aff6"/>
        <w:rPr>
          <w:rFonts w:ascii="Times New Roman"/>
        </w:rPr>
      </w:pPr>
      <w:r w:rsidRPr="003E6732">
        <w:rPr>
          <w:rFonts w:ascii="Times New Roman" w:hint="eastAsia"/>
        </w:rPr>
        <w:t>是指通过互联网等信息网络销售轮胎或者提供服务的自然人、法人和非法人组织，包括自建网站经营的轮胎电子商务经营者、轮胎电子商务平台经营者及平台内轮胎电子商务经营者。</w:t>
      </w:r>
    </w:p>
    <w:p w:rsidR="00C30FE6" w:rsidRDefault="00C30FE6" w:rsidP="0098473E">
      <w:pPr>
        <w:pStyle w:val="a5"/>
        <w:spacing w:before="156" w:after="156"/>
      </w:pPr>
    </w:p>
    <w:p w:rsidR="00C30FE6" w:rsidRPr="000A1354" w:rsidRDefault="003E6732" w:rsidP="00C30FE6">
      <w:pPr>
        <w:pStyle w:val="aff6"/>
        <w:rPr>
          <w:rFonts w:ascii="Times New Roman" w:eastAsia="黑体"/>
        </w:rPr>
      </w:pPr>
      <w:r w:rsidRPr="003E6732">
        <w:rPr>
          <w:rFonts w:ascii="Times New Roman" w:eastAsia="黑体" w:hint="eastAsia"/>
        </w:rPr>
        <w:t>轮胎电子商务平台经营者</w:t>
      </w:r>
      <w:r w:rsidRPr="003E6732">
        <w:rPr>
          <w:rFonts w:ascii="Times New Roman" w:eastAsia="黑体" w:hint="eastAsia"/>
        </w:rPr>
        <w:t xml:space="preserve"> tyre e-commerce platform operator</w:t>
      </w:r>
    </w:p>
    <w:p w:rsidR="00C30FE6" w:rsidRDefault="003E6732" w:rsidP="00C30FE6">
      <w:pPr>
        <w:pStyle w:val="aff6"/>
        <w:rPr>
          <w:rFonts w:ascii="Times New Roman"/>
        </w:rPr>
      </w:pPr>
      <w:r w:rsidRPr="003E6732">
        <w:rPr>
          <w:rFonts w:ascii="Times New Roman" w:hint="eastAsia"/>
        </w:rPr>
        <w:t>是指在轮胎电子商务中为交易双方或多方提供网页空间、虚拟经营场所、交易规则、交易撮合及信息发布等服务，供交易双方或多方独立开展交易活动的法人或非法人组织。</w:t>
      </w:r>
    </w:p>
    <w:p w:rsidR="000A1354" w:rsidRPr="000A1354" w:rsidRDefault="000A1354" w:rsidP="0098473E">
      <w:pPr>
        <w:pStyle w:val="a5"/>
        <w:spacing w:before="156" w:after="156"/>
      </w:pPr>
    </w:p>
    <w:p w:rsidR="000A1354" w:rsidRPr="000A1354" w:rsidRDefault="003E6732" w:rsidP="000A1354">
      <w:pPr>
        <w:pStyle w:val="aff6"/>
        <w:rPr>
          <w:rFonts w:ascii="Times New Roman" w:eastAsia="黑体"/>
        </w:rPr>
      </w:pPr>
      <w:r w:rsidRPr="003E6732">
        <w:rPr>
          <w:rFonts w:ascii="Times New Roman" w:eastAsia="黑体" w:hint="eastAsia"/>
        </w:rPr>
        <w:t>平台内轮胎电子商务经营者</w:t>
      </w:r>
      <w:r w:rsidRPr="003E6732">
        <w:rPr>
          <w:rFonts w:ascii="Times New Roman" w:eastAsia="黑体" w:hint="eastAsia"/>
        </w:rPr>
        <w:t xml:space="preserve"> tyre e-commerce operator within the platform</w:t>
      </w:r>
    </w:p>
    <w:p w:rsidR="000A1354" w:rsidRDefault="003E6732" w:rsidP="000A1354">
      <w:pPr>
        <w:pStyle w:val="aff6"/>
      </w:pPr>
      <w:r w:rsidRPr="003E6732">
        <w:rPr>
          <w:rFonts w:hint="eastAsia"/>
        </w:rPr>
        <w:lastRenderedPageBreak/>
        <w:t>平台内轮胎电子商务经营者（以下称平台内经营者），是指通过电子商务平台销售轮胎或提供服务的轮胎电子商务经营者。</w:t>
      </w:r>
    </w:p>
    <w:p w:rsidR="000A1354" w:rsidRPr="000A1354" w:rsidRDefault="000A1354" w:rsidP="0098473E">
      <w:pPr>
        <w:pStyle w:val="a5"/>
        <w:spacing w:before="156" w:after="156"/>
      </w:pPr>
    </w:p>
    <w:p w:rsidR="000A1354" w:rsidRPr="000A1354" w:rsidRDefault="003E6732" w:rsidP="000A1354">
      <w:pPr>
        <w:pStyle w:val="aff6"/>
        <w:rPr>
          <w:rFonts w:ascii="Times New Roman" w:eastAsia="黑体"/>
        </w:rPr>
      </w:pPr>
      <w:r w:rsidRPr="003E6732">
        <w:rPr>
          <w:rFonts w:ascii="Times New Roman" w:eastAsia="黑体" w:hint="eastAsia"/>
        </w:rPr>
        <w:t>轮胎安装服务商</w:t>
      </w:r>
      <w:r w:rsidRPr="003E6732">
        <w:rPr>
          <w:rFonts w:ascii="Times New Roman" w:eastAsia="黑体" w:hint="eastAsia"/>
        </w:rPr>
        <w:t xml:space="preserve"> tyre mounting service providers</w:t>
      </w:r>
    </w:p>
    <w:p w:rsidR="000A1354" w:rsidRDefault="003E6732" w:rsidP="000A1354">
      <w:pPr>
        <w:pStyle w:val="aff6"/>
      </w:pPr>
      <w:r w:rsidRPr="003E6732">
        <w:rPr>
          <w:rFonts w:hint="eastAsia"/>
        </w:rPr>
        <w:t>是指具备企业法人资格和具备当地运管机构所颁发的道路运输经营许可证，并应与轮胎电子商务经营者签订相关合作协议的经营企业。</w:t>
      </w:r>
    </w:p>
    <w:p w:rsidR="000A1354" w:rsidRDefault="003E6732" w:rsidP="0098473E">
      <w:pPr>
        <w:pStyle w:val="a4"/>
        <w:spacing w:before="312" w:after="312"/>
      </w:pPr>
      <w:r w:rsidRPr="003E6732">
        <w:rPr>
          <w:rFonts w:hint="eastAsia"/>
        </w:rPr>
        <w:t>轮胎电子商务经营者要求</w:t>
      </w:r>
    </w:p>
    <w:p w:rsidR="000A1354" w:rsidRDefault="000A1354" w:rsidP="0098473E">
      <w:pPr>
        <w:pStyle w:val="a5"/>
        <w:spacing w:before="156" w:after="156"/>
      </w:pPr>
      <w:r>
        <w:rPr>
          <w:rFonts w:hint="eastAsia"/>
        </w:rPr>
        <w:t>轮胎经营者管理</w:t>
      </w:r>
    </w:p>
    <w:p w:rsidR="000A1354" w:rsidRDefault="003E6732" w:rsidP="00693F8A">
      <w:pPr>
        <w:pStyle w:val="a6"/>
        <w:spacing w:before="156" w:after="156"/>
        <w:ind w:left="0"/>
        <w:rPr>
          <w:rFonts w:ascii="宋体" w:eastAsia="宋体"/>
        </w:rPr>
      </w:pPr>
      <w:r w:rsidRPr="003E6732">
        <w:rPr>
          <w:rFonts w:ascii="宋体" w:eastAsia="宋体" w:hint="eastAsia"/>
        </w:rPr>
        <w:t>轮胎电子商务经营者应是通过工商行政管理部门和税务登记注册的自然人、法人和非法人组织，从事轮胎电子商务交易及有关服务的，应当在其网站首页或从事经营活动的主页面醒目位置公开营业执照登载的信息或其营业执照的电子链接标识。</w:t>
      </w:r>
    </w:p>
    <w:p w:rsidR="003E6732" w:rsidRPr="002769A7" w:rsidRDefault="003E6732" w:rsidP="003E6732">
      <w:pPr>
        <w:pStyle w:val="affd"/>
        <w:ind w:left="2"/>
        <w:rPr>
          <w:rFonts w:ascii="Times New Roman"/>
        </w:rPr>
      </w:pPr>
      <w:r>
        <w:rPr>
          <w:rFonts w:ascii="Times New Roman" w:hint="eastAsia"/>
        </w:rPr>
        <w:t>平台内经营者</w:t>
      </w:r>
      <w:r w:rsidRPr="002769A7">
        <w:rPr>
          <w:rFonts w:ascii="Times New Roman"/>
        </w:rPr>
        <w:t>应向平台提交其姓名、地址、有效身份证明、有效联系方式等真实身份信息。具备登记注册条件的，依法办理工商登记。</w:t>
      </w:r>
    </w:p>
    <w:p w:rsidR="003E6732" w:rsidRPr="002769A7" w:rsidRDefault="003E6732" w:rsidP="003E6732">
      <w:pPr>
        <w:pStyle w:val="affd"/>
        <w:ind w:left="2"/>
        <w:rPr>
          <w:rFonts w:ascii="Times New Roman"/>
        </w:rPr>
      </w:pPr>
      <w:r w:rsidRPr="002769A7">
        <w:rPr>
          <w:rFonts w:ascii="Times New Roman"/>
        </w:rPr>
        <w:t>轮胎电子商务经营者</w:t>
      </w:r>
      <w:r>
        <w:rPr>
          <w:rFonts w:ascii="Times New Roman"/>
        </w:rPr>
        <w:t>经销的轮胎产品应符合相应的法律、法规、标准的规定</w:t>
      </w:r>
      <w:r>
        <w:rPr>
          <w:rFonts w:ascii="Times New Roman" w:hint="eastAsia"/>
        </w:rPr>
        <w:t>，</w:t>
      </w:r>
      <w:r w:rsidRPr="002769A7">
        <w:rPr>
          <w:rFonts w:ascii="Times New Roman"/>
        </w:rPr>
        <w:t>并标明标准的名称和主要技术指标。不应销售法律、行政法规、技术法规和技术文件所禁止的轮胎产品。</w:t>
      </w:r>
    </w:p>
    <w:p w:rsidR="00DA15CE" w:rsidRPr="00DA15CE" w:rsidRDefault="003E6732" w:rsidP="00693F8A">
      <w:pPr>
        <w:pStyle w:val="a6"/>
        <w:spacing w:before="156" w:after="156"/>
        <w:ind w:left="0"/>
        <w:rPr>
          <w:rFonts w:ascii="宋体" w:eastAsia="宋体"/>
        </w:rPr>
      </w:pPr>
      <w:r w:rsidRPr="003E6732">
        <w:rPr>
          <w:rFonts w:ascii="宋体" w:eastAsia="宋体" w:hint="eastAsia"/>
        </w:rPr>
        <w:t>平台内经营者销售轮胎产品，应预先声明轮胎产品种类、数量、质量、价格、运费、配送方式、安装服务标准、支付形式、退换</w:t>
      </w:r>
      <w:proofErr w:type="gramStart"/>
      <w:r w:rsidRPr="003E6732">
        <w:rPr>
          <w:rFonts w:ascii="宋体" w:eastAsia="宋体" w:hint="eastAsia"/>
        </w:rPr>
        <w:t>货方</w:t>
      </w:r>
      <w:proofErr w:type="gramEnd"/>
      <w:r w:rsidRPr="003E6732">
        <w:rPr>
          <w:rFonts w:ascii="宋体" w:eastAsia="宋体" w:hint="eastAsia"/>
        </w:rPr>
        <w:t>式、理赔信息，按照声明提供轮胎产品和理赔服务。</w:t>
      </w:r>
    </w:p>
    <w:p w:rsidR="003E6732" w:rsidRPr="002769A7" w:rsidRDefault="003E6732" w:rsidP="003E6732">
      <w:pPr>
        <w:pStyle w:val="affd"/>
        <w:ind w:left="2"/>
        <w:rPr>
          <w:rFonts w:ascii="Times New Roman"/>
        </w:rPr>
      </w:pPr>
      <w:r w:rsidRPr="002769A7">
        <w:rPr>
          <w:rFonts w:ascii="Times New Roman"/>
        </w:rPr>
        <w:t>提供电子版格式合同条款应符合法律、法规的规定，按照公平原则确定交易双方的权益与义务，并采用合理和显著的方式提请</w:t>
      </w:r>
      <w:r w:rsidRPr="00E229F8">
        <w:rPr>
          <w:rFonts w:ascii="Times New Roman"/>
        </w:rPr>
        <w:t>购买方注意与购买方权</w:t>
      </w:r>
      <w:r w:rsidRPr="002769A7">
        <w:rPr>
          <w:rFonts w:ascii="Times New Roman"/>
        </w:rPr>
        <w:t>益有重大关系的条款，不应确定最低消费标准以及另行收取不合理的费用。</w:t>
      </w:r>
    </w:p>
    <w:p w:rsidR="003E6732" w:rsidRPr="002769A7" w:rsidRDefault="003E6732" w:rsidP="003E6732">
      <w:pPr>
        <w:pStyle w:val="affd"/>
        <w:ind w:left="2"/>
        <w:rPr>
          <w:rFonts w:ascii="Times New Roman"/>
        </w:rPr>
      </w:pPr>
      <w:r w:rsidRPr="002769A7">
        <w:rPr>
          <w:rFonts w:ascii="Times New Roman"/>
        </w:rPr>
        <w:t>向</w:t>
      </w:r>
      <w:r w:rsidRPr="00E229F8">
        <w:rPr>
          <w:rFonts w:ascii="Times New Roman"/>
        </w:rPr>
        <w:t>购买方出具购货凭证，应符合国家有关规定或者行业惯例；征得购买方同意的，可以电子化形式出具。电子化的购货凭证</w:t>
      </w:r>
      <w:r w:rsidRPr="00E229F8">
        <w:rPr>
          <w:rFonts w:ascii="Times New Roman" w:hint="eastAsia"/>
        </w:rPr>
        <w:t>与纸质的购货凭证具有同等法律效力</w:t>
      </w:r>
      <w:r w:rsidRPr="00E229F8">
        <w:rPr>
          <w:rFonts w:ascii="Times New Roman"/>
        </w:rPr>
        <w:t>，可作为处理</w:t>
      </w:r>
      <w:r>
        <w:rPr>
          <w:rFonts w:ascii="Times New Roman"/>
        </w:rPr>
        <w:t>消费投诉</w:t>
      </w:r>
      <w:r>
        <w:rPr>
          <w:rFonts w:ascii="Times New Roman" w:hint="eastAsia"/>
        </w:rPr>
        <w:t>、</w:t>
      </w:r>
      <w:r w:rsidRPr="002769A7">
        <w:rPr>
          <w:rFonts w:ascii="Times New Roman"/>
        </w:rPr>
        <w:t>理赔的依据。</w:t>
      </w:r>
    </w:p>
    <w:p w:rsidR="003E6732" w:rsidRPr="002769A7" w:rsidRDefault="003E6732" w:rsidP="003E6732">
      <w:pPr>
        <w:pStyle w:val="affd"/>
        <w:ind w:left="2"/>
        <w:rPr>
          <w:rFonts w:ascii="Times New Roman"/>
        </w:rPr>
      </w:pPr>
      <w:r w:rsidRPr="002769A7">
        <w:rPr>
          <w:rFonts w:ascii="Times New Roman"/>
        </w:rPr>
        <w:t>对收集的</w:t>
      </w:r>
      <w:r w:rsidRPr="00E229F8">
        <w:rPr>
          <w:rFonts w:ascii="Times New Roman"/>
        </w:rPr>
        <w:t>购买方信息，应安全保管、合理使用、限期持有和妥善销毁；不应公开、出租、出售所收集的购买方信息。法律、法规另有规定的除外</w:t>
      </w:r>
      <w:r w:rsidRPr="002769A7">
        <w:rPr>
          <w:rFonts w:ascii="Times New Roman"/>
        </w:rPr>
        <w:t>。</w:t>
      </w:r>
    </w:p>
    <w:p w:rsidR="003E6732" w:rsidRDefault="003E6732" w:rsidP="003E6732">
      <w:pPr>
        <w:pStyle w:val="affd"/>
        <w:ind w:left="2"/>
        <w:rPr>
          <w:rFonts w:ascii="Times New Roman"/>
        </w:rPr>
      </w:pPr>
      <w:r w:rsidRPr="002769A7">
        <w:rPr>
          <w:rFonts w:ascii="Times New Roman"/>
        </w:rPr>
        <w:t>所发布的轮胎产品信息应真实准确，不应作虚假宣传；不应侵犯他人的注册商标专用权和企业名称等权利；不应利用网络技术手段或者载体等方式，实施损害其他</w:t>
      </w:r>
      <w:r w:rsidRPr="00E229F8">
        <w:rPr>
          <w:rFonts w:ascii="Times New Roman"/>
        </w:rPr>
        <w:t>轮胎</w:t>
      </w:r>
      <w:r w:rsidRPr="00E229F8">
        <w:rPr>
          <w:rFonts w:ascii="Times New Roman" w:hint="eastAsia"/>
        </w:rPr>
        <w:t>经营者</w:t>
      </w:r>
      <w:r w:rsidRPr="00E229F8">
        <w:rPr>
          <w:rFonts w:ascii="Times New Roman"/>
        </w:rPr>
        <w:t>的</w:t>
      </w:r>
      <w:r w:rsidRPr="002769A7">
        <w:rPr>
          <w:rFonts w:ascii="Times New Roman"/>
        </w:rPr>
        <w:t>商业信誉、轮胎产品声誉以及侵犯权利人商业秘密等不正当竞争行为。</w:t>
      </w:r>
    </w:p>
    <w:p w:rsidR="003E6732" w:rsidRDefault="003E6732" w:rsidP="003E6732">
      <w:pPr>
        <w:pStyle w:val="affd"/>
        <w:ind w:left="2"/>
        <w:rPr>
          <w:rFonts w:ascii="Times New Roman"/>
        </w:rPr>
      </w:pPr>
      <w:r w:rsidRPr="003E6732">
        <w:rPr>
          <w:rFonts w:ascii="Times New Roman" w:hint="eastAsia"/>
        </w:rPr>
        <w:t>应具备为轮胎交易双方提供订单保管、查询、跟踪、运输或寄递服务，并且在网站上具体说明使用服务的方法、时间、收费标准及有关注意事项。</w:t>
      </w:r>
    </w:p>
    <w:p w:rsidR="003E6732" w:rsidRDefault="003E6732" w:rsidP="003E6732">
      <w:pPr>
        <w:pStyle w:val="affd"/>
        <w:ind w:left="2"/>
        <w:rPr>
          <w:rFonts w:ascii="Times New Roman"/>
        </w:rPr>
      </w:pPr>
      <w:r w:rsidRPr="003E6732">
        <w:rPr>
          <w:rFonts w:ascii="Times New Roman" w:hint="eastAsia"/>
        </w:rPr>
        <w:t>应对需要安装服务的购买方提供轮胎安装服务，并在明显位置公开轮胎安装服务商的信息。</w:t>
      </w:r>
    </w:p>
    <w:p w:rsidR="003E6732" w:rsidRDefault="003E6732" w:rsidP="003E6732">
      <w:pPr>
        <w:pStyle w:val="affd"/>
        <w:ind w:left="2"/>
        <w:rPr>
          <w:rFonts w:ascii="Times New Roman"/>
        </w:rPr>
      </w:pPr>
      <w:r w:rsidRPr="003E6732">
        <w:rPr>
          <w:rFonts w:ascii="Times New Roman" w:hint="eastAsia"/>
        </w:rPr>
        <w:t>应提供完善售后服务政策、售后服务流程和经营者服务电话，并以图文的形式在网站首页下方明显位置显示。</w:t>
      </w:r>
    </w:p>
    <w:p w:rsidR="003E6732" w:rsidRPr="002769A7" w:rsidRDefault="003E6732" w:rsidP="003E6732">
      <w:pPr>
        <w:pStyle w:val="affd"/>
        <w:ind w:left="2"/>
        <w:rPr>
          <w:rFonts w:ascii="Times New Roman"/>
        </w:rPr>
      </w:pPr>
      <w:r>
        <w:rPr>
          <w:rFonts w:ascii="Times New Roman"/>
        </w:rPr>
        <w:t>应</w:t>
      </w:r>
      <w:r w:rsidRPr="002769A7">
        <w:rPr>
          <w:rFonts w:ascii="Times New Roman"/>
        </w:rPr>
        <w:t>公布国家授权的鉴定</w:t>
      </w:r>
      <w:r w:rsidRPr="00E229F8">
        <w:rPr>
          <w:rFonts w:ascii="Times New Roman"/>
        </w:rPr>
        <w:t>机构和相关轮胎理赔的法律、法规和标准，</w:t>
      </w:r>
      <w:r w:rsidRPr="00E229F8">
        <w:rPr>
          <w:rFonts w:ascii="Times New Roman" w:hint="eastAsia"/>
        </w:rPr>
        <w:t>并按照</w:t>
      </w:r>
      <w:r w:rsidRPr="00E229F8">
        <w:rPr>
          <w:rFonts w:ascii="Times New Roman" w:hint="eastAsia"/>
        </w:rPr>
        <w:t>SB/T 10468.2</w:t>
      </w:r>
      <w:r w:rsidRPr="00E229F8">
        <w:rPr>
          <w:rFonts w:ascii="Times New Roman" w:hint="eastAsia"/>
        </w:rPr>
        <w:t>进行理赔，</w:t>
      </w:r>
      <w:r w:rsidRPr="002769A7">
        <w:rPr>
          <w:rFonts w:ascii="Times New Roman"/>
        </w:rPr>
        <w:t>以处理有争议的质量纠纷。</w:t>
      </w:r>
    </w:p>
    <w:p w:rsidR="003E6732" w:rsidRPr="002769A7" w:rsidRDefault="003E6732" w:rsidP="003E6732">
      <w:pPr>
        <w:pStyle w:val="affd"/>
        <w:ind w:left="2"/>
        <w:rPr>
          <w:rFonts w:ascii="Times New Roman"/>
        </w:rPr>
      </w:pPr>
      <w:r w:rsidRPr="002769A7">
        <w:rPr>
          <w:rFonts w:ascii="Times New Roman"/>
        </w:rPr>
        <w:t>应保存电子商务交易的相关信息、记录或资料，采取相应的技术手段保证上述资料的完整性、准确性和安全性并使其日后可以调取查用，</w:t>
      </w:r>
      <w:r w:rsidRPr="00E229F8">
        <w:rPr>
          <w:rFonts w:ascii="Times New Roman"/>
        </w:rPr>
        <w:t>自</w:t>
      </w:r>
      <w:r w:rsidRPr="00E229F8">
        <w:rPr>
          <w:rFonts w:ascii="Times New Roman" w:hint="eastAsia"/>
        </w:rPr>
        <w:t>生产日期</w:t>
      </w:r>
      <w:r w:rsidRPr="00E229F8">
        <w:rPr>
          <w:rFonts w:ascii="Times New Roman"/>
        </w:rPr>
        <w:t>起计算，保存时间不得少于</w:t>
      </w:r>
      <w:r w:rsidRPr="00E229F8">
        <w:rPr>
          <w:rFonts w:ascii="Times New Roman" w:hint="eastAsia"/>
        </w:rPr>
        <w:t>3</w:t>
      </w:r>
      <w:r w:rsidRPr="00E229F8">
        <w:rPr>
          <w:rFonts w:ascii="Times New Roman"/>
        </w:rPr>
        <w:t>年</w:t>
      </w:r>
      <w:r w:rsidRPr="002769A7">
        <w:rPr>
          <w:rFonts w:ascii="Times New Roman"/>
        </w:rPr>
        <w:t>。</w:t>
      </w:r>
    </w:p>
    <w:p w:rsidR="003E6732" w:rsidRPr="00E229F8" w:rsidRDefault="003E6732" w:rsidP="003E6732">
      <w:pPr>
        <w:pStyle w:val="affd"/>
        <w:ind w:left="2"/>
        <w:rPr>
          <w:rFonts w:ascii="Times New Roman"/>
        </w:rPr>
      </w:pPr>
      <w:r w:rsidRPr="003E6732">
        <w:rPr>
          <w:rFonts w:ascii="Times New Roman" w:hint="eastAsia"/>
        </w:rPr>
        <w:lastRenderedPageBreak/>
        <w:t>轮胎电子商务交易方应自行保存交易过程中产生的网下凭据以作为交易纠纷的处理依据，包括但不限于：发货单、汇款单和发票。</w:t>
      </w:r>
    </w:p>
    <w:p w:rsidR="00600D09" w:rsidRPr="00E229F8" w:rsidRDefault="003E6732" w:rsidP="003E6732">
      <w:pPr>
        <w:pStyle w:val="affd"/>
        <w:ind w:left="2"/>
        <w:rPr>
          <w:rFonts w:ascii="Times New Roman"/>
        </w:rPr>
      </w:pPr>
      <w:r w:rsidRPr="00E229F8">
        <w:rPr>
          <w:rFonts w:ascii="Times New Roman" w:hint="eastAsia"/>
        </w:rPr>
        <w:t>在涉及金额</w:t>
      </w:r>
      <w:r w:rsidRPr="00E229F8">
        <w:rPr>
          <w:rFonts w:ascii="Times New Roman" w:hint="eastAsia"/>
        </w:rPr>
        <w:t>1</w:t>
      </w:r>
      <w:r w:rsidRPr="00E229F8">
        <w:rPr>
          <w:rFonts w:ascii="Times New Roman" w:hint="eastAsia"/>
        </w:rPr>
        <w:t>万元人民币以上或较为重要的交易时，可以生成必要的书面文件或采取其他合理措施保存交易记录。</w:t>
      </w:r>
    </w:p>
    <w:p w:rsidR="003E6732" w:rsidRPr="00E229F8" w:rsidRDefault="003E6732" w:rsidP="003E6732">
      <w:pPr>
        <w:pStyle w:val="affd"/>
        <w:ind w:left="2"/>
        <w:rPr>
          <w:rFonts w:ascii="Times New Roman"/>
        </w:rPr>
      </w:pPr>
      <w:r w:rsidRPr="00E229F8">
        <w:rPr>
          <w:rFonts w:ascii="Times New Roman" w:hint="eastAsia"/>
        </w:rPr>
        <w:t>轮胎电子商务经营者自行终止从事电子商务的，应提前</w:t>
      </w:r>
      <w:r w:rsidR="00AF4277">
        <w:rPr>
          <w:rFonts w:ascii="Times New Roman" w:hint="eastAsia"/>
        </w:rPr>
        <w:t>60</w:t>
      </w:r>
      <w:r w:rsidRPr="00E229F8">
        <w:rPr>
          <w:rFonts w:ascii="Times New Roman" w:hint="eastAsia"/>
        </w:rPr>
        <w:t>日在主页显著位置公示有关信息。</w:t>
      </w:r>
    </w:p>
    <w:p w:rsidR="000A1354" w:rsidRDefault="000A1354" w:rsidP="0098473E">
      <w:pPr>
        <w:pStyle w:val="a5"/>
        <w:spacing w:before="156" w:after="156"/>
      </w:pPr>
      <w:r>
        <w:rPr>
          <w:rFonts w:hint="eastAsia"/>
        </w:rPr>
        <w:t>轮胎实物交易</w:t>
      </w:r>
    </w:p>
    <w:p w:rsidR="000A1354" w:rsidRPr="00FA64D7" w:rsidRDefault="000A1354" w:rsidP="00693F8A">
      <w:pPr>
        <w:pStyle w:val="a6"/>
        <w:spacing w:before="156" w:after="156"/>
        <w:ind w:left="0"/>
        <w:rPr>
          <w:rFonts w:ascii="宋体" w:eastAsia="宋体"/>
        </w:rPr>
      </w:pPr>
      <w:r w:rsidRPr="00FA64D7">
        <w:rPr>
          <w:rFonts w:ascii="宋体" w:eastAsia="宋体" w:hint="eastAsia"/>
        </w:rPr>
        <w:t>交易的轮胎产品</w:t>
      </w:r>
    </w:p>
    <w:p w:rsidR="000A1354" w:rsidRPr="006B75E4" w:rsidRDefault="008B1018" w:rsidP="000A1354">
      <w:pPr>
        <w:pStyle w:val="aff6"/>
        <w:rPr>
          <w:rFonts w:ascii="Times New Roman"/>
        </w:rPr>
      </w:pPr>
      <w:r w:rsidRPr="008B1018">
        <w:rPr>
          <w:rFonts w:ascii="Times New Roman" w:hint="eastAsia"/>
        </w:rPr>
        <w:t>所销售的轮胎产品应符合产品标准，</w:t>
      </w:r>
      <w:r w:rsidR="00DA6812">
        <w:rPr>
          <w:rFonts w:ascii="Times New Roman" w:hint="eastAsia"/>
        </w:rPr>
        <w:t>并获得</w:t>
      </w:r>
      <w:r w:rsidRPr="008B1018">
        <w:rPr>
          <w:rFonts w:ascii="Times New Roman" w:hint="eastAsia"/>
        </w:rPr>
        <w:t>CCC</w:t>
      </w:r>
      <w:r w:rsidR="00DA6812">
        <w:rPr>
          <w:rFonts w:ascii="Times New Roman" w:hint="eastAsia"/>
        </w:rPr>
        <w:t>证书</w:t>
      </w:r>
      <w:r w:rsidRPr="008B1018">
        <w:rPr>
          <w:rFonts w:ascii="Times New Roman" w:hint="eastAsia"/>
        </w:rPr>
        <w:t>，应贴有信息完备的产品标签及轮胎条形码或符合</w:t>
      </w:r>
      <w:r w:rsidRPr="008B1018">
        <w:rPr>
          <w:rFonts w:ascii="Times New Roman" w:hint="eastAsia"/>
        </w:rPr>
        <w:t>HG/T 4956</w:t>
      </w:r>
      <w:r w:rsidRPr="008B1018">
        <w:rPr>
          <w:rFonts w:ascii="Times New Roman" w:hint="eastAsia"/>
        </w:rPr>
        <w:t>要求的电子标签编码（</w:t>
      </w:r>
      <w:r w:rsidRPr="008B1018">
        <w:rPr>
          <w:rFonts w:ascii="Times New Roman" w:hint="eastAsia"/>
        </w:rPr>
        <w:t>RFID</w:t>
      </w:r>
      <w:r w:rsidRPr="008B1018">
        <w:rPr>
          <w:rFonts w:ascii="Times New Roman" w:hint="eastAsia"/>
        </w:rPr>
        <w:t>）。不应销售假冒轮胎、走私轮胎、改标胎、标识不完整的轮胎、不执行理赔服务的轮胎。</w:t>
      </w:r>
    </w:p>
    <w:p w:rsidR="000A1354" w:rsidRPr="00FA64D7" w:rsidRDefault="000A1354" w:rsidP="00693F8A">
      <w:pPr>
        <w:pStyle w:val="a6"/>
        <w:spacing w:before="156" w:after="156"/>
        <w:ind w:left="0"/>
        <w:rPr>
          <w:rFonts w:ascii="宋体" w:eastAsia="宋体"/>
        </w:rPr>
      </w:pPr>
      <w:r w:rsidRPr="00FA64D7">
        <w:rPr>
          <w:rFonts w:ascii="宋体" w:eastAsia="宋体" w:hint="eastAsia"/>
        </w:rPr>
        <w:t>轮胎产品描述</w:t>
      </w:r>
    </w:p>
    <w:p w:rsidR="000A1354" w:rsidRDefault="00494969" w:rsidP="000A1354">
      <w:pPr>
        <w:pStyle w:val="aff6"/>
      </w:pPr>
      <w:r w:rsidRPr="00494969">
        <w:rPr>
          <w:rFonts w:hint="eastAsia"/>
        </w:rPr>
        <w:t>应提供轮胎产品描述，包括但不限于：规格代号、花纹代号、层级、负荷指数、速度符号、标准轮辋、最大负荷（包括单胎与双胎）、充气</w:t>
      </w:r>
      <w:r w:rsidR="00DA6812">
        <w:rPr>
          <w:rFonts w:hint="eastAsia"/>
        </w:rPr>
        <w:t>压力</w:t>
      </w:r>
      <w:r w:rsidRPr="00494969">
        <w:rPr>
          <w:rFonts w:hint="eastAsia"/>
        </w:rPr>
        <w:t>，所销售的轮胎产品与描述的内容应一致。</w:t>
      </w:r>
    </w:p>
    <w:p w:rsidR="000A1354" w:rsidRPr="00FA64D7" w:rsidRDefault="000A1354" w:rsidP="00693F8A">
      <w:pPr>
        <w:pStyle w:val="a6"/>
        <w:spacing w:before="156" w:after="156"/>
        <w:ind w:left="0"/>
        <w:rPr>
          <w:rFonts w:ascii="宋体" w:eastAsia="宋体"/>
        </w:rPr>
      </w:pPr>
      <w:r w:rsidRPr="00FA64D7">
        <w:rPr>
          <w:rFonts w:ascii="宋体" w:eastAsia="宋体" w:hint="eastAsia"/>
        </w:rPr>
        <w:t>价格管理</w:t>
      </w:r>
    </w:p>
    <w:p w:rsidR="000A1354" w:rsidRDefault="00494969" w:rsidP="000A1354">
      <w:pPr>
        <w:pStyle w:val="aff6"/>
      </w:pPr>
      <w:r w:rsidRPr="00494969">
        <w:rPr>
          <w:rFonts w:hint="eastAsia"/>
        </w:rPr>
        <w:t>应建立和执行价格管理制度，包括但不限于：商品价格应在线实时标明；在电子商务平台上应明示商品配送价格；需收取消费者/用户配送服务费和安装服务费时</w:t>
      </w:r>
      <w:r>
        <w:rPr>
          <w:rFonts w:hint="eastAsia"/>
        </w:rPr>
        <w:t>，在交易过程中，应提前明示商品销售金额、配送服务费和安装服务费</w:t>
      </w:r>
      <w:r w:rsidR="000A1354">
        <w:rPr>
          <w:rFonts w:hint="eastAsia"/>
        </w:rPr>
        <w:t>。</w:t>
      </w:r>
    </w:p>
    <w:p w:rsidR="000A1354" w:rsidRDefault="00494969" w:rsidP="0098473E">
      <w:pPr>
        <w:pStyle w:val="a4"/>
        <w:spacing w:before="312" w:after="312"/>
      </w:pPr>
      <w:r w:rsidRPr="00494969">
        <w:rPr>
          <w:rFonts w:hint="eastAsia"/>
        </w:rPr>
        <w:t>轮胎电子商务平台经营者要求</w:t>
      </w:r>
    </w:p>
    <w:p w:rsidR="000A1354" w:rsidRDefault="00F51254" w:rsidP="00DE253F">
      <w:pPr>
        <w:pStyle w:val="a5"/>
        <w:spacing w:beforeLines="20" w:before="62" w:afterLines="20" w:after="62"/>
        <w:rPr>
          <w:rFonts w:ascii="宋体" w:eastAsia="宋体" w:hAnsi="宋体"/>
        </w:rPr>
      </w:pPr>
      <w:r w:rsidRPr="00F51254">
        <w:rPr>
          <w:rFonts w:ascii="宋体" w:eastAsia="宋体" w:hAnsi="宋体" w:hint="eastAsia"/>
        </w:rPr>
        <w:t>应通过合法的途径取得独立的固定网址和该网址的ICP备案编号，并在网站首页下方明显位置显示备案信息。有其他法律、法规要求备案的，也应在网站首页下方明显位置显示。</w:t>
      </w:r>
    </w:p>
    <w:p w:rsidR="00F51254" w:rsidRDefault="00F51254" w:rsidP="00DE253F">
      <w:pPr>
        <w:pStyle w:val="affe"/>
        <w:spacing w:beforeLines="20" w:before="62" w:afterLines="20" w:after="62"/>
        <w:ind w:leftChars="202" w:left="424" w:firstLine="0"/>
        <w:rPr>
          <w:rFonts w:ascii="Times New Roman"/>
        </w:rPr>
      </w:pPr>
      <w:r w:rsidRPr="00F51254">
        <w:rPr>
          <w:rFonts w:ascii="Times New Roman"/>
        </w:rPr>
        <w:t>ICP</w:t>
      </w:r>
      <w:r w:rsidRPr="00F51254">
        <w:rPr>
          <w:rFonts w:ascii="Times New Roman"/>
        </w:rPr>
        <w:t>英文为</w:t>
      </w:r>
      <w:r w:rsidRPr="00F51254">
        <w:rPr>
          <w:rFonts w:ascii="Times New Roman"/>
        </w:rPr>
        <w:t xml:space="preserve"> Internet Content Provider</w:t>
      </w:r>
      <w:r w:rsidRPr="00F51254">
        <w:rPr>
          <w:rFonts w:ascii="Times New Roman"/>
        </w:rPr>
        <w:t>，即向广大用户综合提供互联网信息业务和增值业务的电信运营商。</w:t>
      </w:r>
      <w:r w:rsidRPr="00F51254">
        <w:rPr>
          <w:rFonts w:ascii="Times New Roman"/>
        </w:rPr>
        <w:t>ICP</w:t>
      </w:r>
      <w:r w:rsidRPr="00F51254">
        <w:rPr>
          <w:rFonts w:ascii="Times New Roman"/>
        </w:rPr>
        <w:t>备案编号就是网站提交备案资料，经国家有关主管部门审核通过后颁发的备案号码。例如：京</w:t>
      </w:r>
      <w:r w:rsidRPr="00F51254">
        <w:rPr>
          <w:rFonts w:ascii="Times New Roman"/>
        </w:rPr>
        <w:t>ICP</w:t>
      </w:r>
      <w:r w:rsidRPr="00F51254">
        <w:rPr>
          <w:rFonts w:ascii="Times New Roman"/>
        </w:rPr>
        <w:t>备</w:t>
      </w:r>
      <w:r w:rsidRPr="00F51254">
        <w:rPr>
          <w:rFonts w:ascii="Times New Roman"/>
        </w:rPr>
        <w:t xml:space="preserve"> 200901001</w:t>
      </w:r>
      <w:r w:rsidRPr="00F51254">
        <w:rPr>
          <w:rFonts w:ascii="Times New Roman"/>
        </w:rPr>
        <w:t>。</w:t>
      </w:r>
    </w:p>
    <w:p w:rsidR="00F51254" w:rsidRDefault="00F51254" w:rsidP="00DE253F">
      <w:pPr>
        <w:pStyle w:val="a5"/>
        <w:spacing w:beforeLines="20" w:before="62" w:afterLines="20" w:after="62"/>
        <w:rPr>
          <w:rFonts w:ascii="宋体" w:eastAsia="宋体" w:hAnsi="宋体"/>
        </w:rPr>
      </w:pPr>
      <w:r w:rsidRPr="00F51254">
        <w:rPr>
          <w:rFonts w:ascii="宋体" w:eastAsia="宋体" w:hAnsi="宋体" w:hint="eastAsia"/>
        </w:rPr>
        <w:t>应与申请进入的平台内经营者订立协议，明确双方在平台进入和退出、销售和服务质量安全保障、消费者权益保护等方面的权利、义务和责任。</w:t>
      </w:r>
    </w:p>
    <w:p w:rsidR="00F51254" w:rsidRDefault="00F51254" w:rsidP="00DE253F">
      <w:pPr>
        <w:pStyle w:val="a5"/>
        <w:spacing w:beforeLines="20" w:before="62" w:afterLines="20" w:after="62"/>
        <w:rPr>
          <w:rFonts w:ascii="宋体" w:eastAsia="宋体" w:hAnsi="宋体"/>
        </w:rPr>
      </w:pPr>
      <w:r w:rsidRPr="00F51254">
        <w:rPr>
          <w:rFonts w:ascii="宋体" w:eastAsia="宋体" w:hAnsi="宋体" w:hint="eastAsia"/>
        </w:rPr>
        <w:t>应对平台内经营者及其发布的轮胎和服务信息建立检查监控制度，发现有违反工商行政管理法律、法规行为的，应向平台内经营者所在地工商行政管理部门报告，并及时采取措施制止，必要时可以停止对其提供第三方交易平台服务。</w:t>
      </w:r>
    </w:p>
    <w:p w:rsidR="00B12974" w:rsidRDefault="00B12974" w:rsidP="00DE253F">
      <w:pPr>
        <w:pStyle w:val="a5"/>
        <w:spacing w:beforeLines="20" w:before="62" w:afterLines="20" w:after="62"/>
        <w:rPr>
          <w:rFonts w:ascii="宋体" w:eastAsia="宋体" w:hAnsi="宋体"/>
        </w:rPr>
      </w:pPr>
      <w:r w:rsidRPr="00B12974">
        <w:rPr>
          <w:rFonts w:ascii="宋体" w:eastAsia="宋体" w:hAnsi="宋体" w:hint="eastAsia"/>
        </w:rPr>
        <w:t>应采取必要手段保护注册商标专用权、企业名称权等权利，对平台内经营者所提供的包括但不限于：资质、授权书进行监控，同时应与权利所有人核实其有效性。对权利人有证据证明平台内经营者实施侵犯其注册商标专用权、企业名称权等权利的行为或者实施损害其合法权益的其他不正当竞争行为的，应采取必要措施。</w:t>
      </w:r>
    </w:p>
    <w:p w:rsidR="0020559A" w:rsidRDefault="0020559A" w:rsidP="00DE253F">
      <w:pPr>
        <w:pStyle w:val="a5"/>
        <w:spacing w:beforeLines="20" w:before="62" w:afterLines="20" w:after="62"/>
        <w:rPr>
          <w:rFonts w:ascii="宋体" w:eastAsia="宋体" w:hAnsi="宋体"/>
        </w:rPr>
      </w:pPr>
      <w:r w:rsidRPr="0020559A">
        <w:rPr>
          <w:rFonts w:ascii="宋体" w:eastAsia="宋体" w:hAnsi="宋体" w:hint="eastAsia"/>
        </w:rPr>
        <w:t>应审查、记录、保存在其平台上发布的轮胎和服务信息内容及其发布时间。平台内经营者的营业执照或者个人真实身份信息记录保存时间从经营者在平台的登记注销之日起不少于两年，交易记录等其他信息记录备份保存时间从交易完成之日起不少于五年。</w:t>
      </w:r>
    </w:p>
    <w:p w:rsidR="0020559A" w:rsidRDefault="0020559A" w:rsidP="00DE253F">
      <w:pPr>
        <w:pStyle w:val="a5"/>
        <w:spacing w:beforeLines="20" w:before="62" w:afterLines="20" w:after="62"/>
        <w:rPr>
          <w:rFonts w:ascii="宋体" w:eastAsia="宋体" w:hAnsi="宋体"/>
        </w:rPr>
      </w:pPr>
      <w:r w:rsidRPr="0020559A">
        <w:rPr>
          <w:rFonts w:ascii="宋体" w:eastAsia="宋体" w:hAnsi="宋体" w:hint="eastAsia"/>
        </w:rPr>
        <w:t>应采取电子签名、数据备份、故障恢复等技术手段确保网络交易数据和资料的完整性和安全性，并应保证原始数据的真实性。</w:t>
      </w:r>
    </w:p>
    <w:p w:rsidR="0020559A" w:rsidRDefault="0020559A" w:rsidP="00DE253F">
      <w:pPr>
        <w:pStyle w:val="a5"/>
        <w:spacing w:beforeLines="20" w:before="62" w:afterLines="20" w:after="62"/>
        <w:rPr>
          <w:rFonts w:ascii="宋体" w:eastAsia="宋体" w:hAnsi="宋体"/>
        </w:rPr>
      </w:pPr>
      <w:r w:rsidRPr="0020559A">
        <w:rPr>
          <w:rFonts w:ascii="宋体" w:eastAsia="宋体" w:hAnsi="宋体" w:hint="eastAsia"/>
        </w:rPr>
        <w:lastRenderedPageBreak/>
        <w:t>应具备产品信息管理、客户信息管理、订单管理、客户端管理等功能。</w:t>
      </w:r>
    </w:p>
    <w:p w:rsidR="0020559A" w:rsidRDefault="0020559A" w:rsidP="00DE253F">
      <w:pPr>
        <w:pStyle w:val="a5"/>
        <w:spacing w:beforeLines="20" w:before="62" w:afterLines="20" w:after="62"/>
        <w:rPr>
          <w:rFonts w:ascii="宋体" w:eastAsia="宋体" w:hAnsi="宋体"/>
        </w:rPr>
      </w:pPr>
      <w:r w:rsidRPr="0020559A">
        <w:rPr>
          <w:rFonts w:ascii="宋体" w:eastAsia="宋体" w:hAnsi="宋体" w:hint="eastAsia"/>
        </w:rPr>
        <w:t>应具备有在线支付功能（含身份证、电子签名等），还应有其他资金结算方式供轮胎</w:t>
      </w:r>
      <w:r w:rsidR="00DA6812">
        <w:rPr>
          <w:rFonts w:ascii="宋体" w:eastAsia="宋体" w:hAnsi="宋体" w:hint="eastAsia"/>
        </w:rPr>
        <w:t>购买方选择，应选</w:t>
      </w:r>
      <w:proofErr w:type="gramStart"/>
      <w:r w:rsidR="00DA6812">
        <w:rPr>
          <w:rFonts w:ascii="宋体" w:eastAsia="宋体" w:hAnsi="宋体" w:hint="eastAsia"/>
        </w:rPr>
        <w:t>择具备</w:t>
      </w:r>
      <w:proofErr w:type="gramEnd"/>
      <w:r w:rsidR="00DA6812">
        <w:rPr>
          <w:rFonts w:ascii="宋体" w:eastAsia="宋体" w:hAnsi="宋体" w:hint="eastAsia"/>
        </w:rPr>
        <w:t>资质的第三方支付机构。提供线下支付的，应</w:t>
      </w:r>
      <w:r w:rsidRPr="0020559A">
        <w:rPr>
          <w:rFonts w:ascii="宋体" w:eastAsia="宋体" w:hAnsi="宋体" w:hint="eastAsia"/>
        </w:rPr>
        <w:t>实施货到付款方式。</w:t>
      </w:r>
    </w:p>
    <w:p w:rsidR="0020559A" w:rsidRDefault="0020559A" w:rsidP="00DE253F">
      <w:pPr>
        <w:pStyle w:val="a5"/>
        <w:spacing w:beforeLines="20" w:before="62" w:afterLines="20" w:after="62"/>
        <w:rPr>
          <w:rFonts w:ascii="Times New Roman" w:eastAsia="宋体" w:hAnsi="宋体"/>
        </w:rPr>
      </w:pPr>
      <w:r w:rsidRPr="0020559A">
        <w:rPr>
          <w:rFonts w:ascii="Times New Roman" w:eastAsia="宋体" w:hAnsi="宋体"/>
        </w:rPr>
        <w:t>平台运营技术保障要求，按照</w:t>
      </w:r>
      <w:r w:rsidRPr="0020559A">
        <w:rPr>
          <w:rFonts w:ascii="Times New Roman" w:eastAsia="宋体"/>
        </w:rPr>
        <w:t>GB/T 31524</w:t>
      </w:r>
      <w:r w:rsidRPr="002D463C">
        <w:rPr>
          <w:rFonts w:ascii="Times New Roman" w:hint="eastAsia"/>
        </w:rPr>
        <w:t>—</w:t>
      </w:r>
      <w:r w:rsidRPr="0020559A">
        <w:rPr>
          <w:rFonts w:ascii="Times New Roman" w:eastAsia="宋体"/>
        </w:rPr>
        <w:t>2015</w:t>
      </w:r>
      <w:r w:rsidRPr="0020559A">
        <w:rPr>
          <w:rFonts w:ascii="Times New Roman" w:eastAsia="宋体" w:hAnsi="宋体"/>
        </w:rPr>
        <w:t>第</w:t>
      </w:r>
      <w:r w:rsidRPr="0020559A">
        <w:rPr>
          <w:rFonts w:ascii="Times New Roman" w:eastAsia="宋体"/>
        </w:rPr>
        <w:t>10</w:t>
      </w:r>
      <w:r w:rsidRPr="0020559A">
        <w:rPr>
          <w:rFonts w:ascii="Times New Roman" w:eastAsia="宋体" w:hAnsi="宋体"/>
        </w:rPr>
        <w:t>章要求执行。</w:t>
      </w:r>
    </w:p>
    <w:p w:rsidR="0020559A" w:rsidRDefault="0020559A" w:rsidP="00DE253F">
      <w:pPr>
        <w:pStyle w:val="a5"/>
        <w:spacing w:beforeLines="20" w:before="62" w:afterLines="20" w:after="62"/>
        <w:rPr>
          <w:rFonts w:ascii="宋体" w:eastAsia="宋体" w:hAnsi="宋体"/>
        </w:rPr>
      </w:pPr>
      <w:r w:rsidRPr="0020559A">
        <w:rPr>
          <w:rFonts w:ascii="宋体" w:eastAsia="宋体" w:hAnsi="宋体"/>
        </w:rPr>
        <w:t>公平的交易条款</w:t>
      </w:r>
    </w:p>
    <w:p w:rsidR="0020559A" w:rsidRDefault="0020559A" w:rsidP="00DE253F">
      <w:pPr>
        <w:pStyle w:val="aff6"/>
        <w:spacing w:beforeLines="20" w:before="62" w:afterLines="20" w:after="62"/>
      </w:pPr>
      <w:r w:rsidRPr="0020559A">
        <w:rPr>
          <w:rFonts w:hint="eastAsia"/>
        </w:rPr>
        <w:t>应在网站首页下方明显位置显示交易条款，交易条款视为交易行为的提示和承诺。</w:t>
      </w:r>
    </w:p>
    <w:p w:rsidR="0020559A" w:rsidRDefault="00600D09" w:rsidP="0098473E">
      <w:pPr>
        <w:pStyle w:val="a4"/>
        <w:spacing w:before="312" w:after="312"/>
      </w:pPr>
      <w:r w:rsidRPr="00600D09">
        <w:rPr>
          <w:rFonts w:hint="eastAsia"/>
        </w:rPr>
        <w:t>权益保护</w:t>
      </w:r>
    </w:p>
    <w:p w:rsidR="00600D09" w:rsidRDefault="00600D09" w:rsidP="00DE253F">
      <w:pPr>
        <w:pStyle w:val="a5"/>
        <w:spacing w:beforeLines="20" w:before="62" w:afterLines="20" w:after="62"/>
        <w:rPr>
          <w:rFonts w:ascii="宋体" w:eastAsia="宋体" w:hAnsi="宋体"/>
        </w:rPr>
      </w:pPr>
      <w:r w:rsidRPr="00600D09">
        <w:rPr>
          <w:rFonts w:ascii="宋体" w:eastAsia="宋体" w:hAnsi="宋体" w:hint="eastAsia"/>
        </w:rPr>
        <w:t>轮胎电子商务交易方的各项合法权利和权益受法律保护，各交易相关方不得以任何手段对其合法的权利和权益进行侵害。</w:t>
      </w:r>
    </w:p>
    <w:p w:rsidR="00600D09" w:rsidRDefault="00600D09" w:rsidP="00DE253F">
      <w:pPr>
        <w:pStyle w:val="a5"/>
        <w:spacing w:beforeLines="20" w:before="62" w:afterLines="20" w:after="62"/>
        <w:rPr>
          <w:rFonts w:ascii="宋体" w:eastAsia="宋体" w:hAnsi="宋体"/>
        </w:rPr>
      </w:pPr>
      <w:r w:rsidRPr="00600D09">
        <w:rPr>
          <w:rFonts w:ascii="宋体" w:eastAsia="宋体" w:hAnsi="宋体" w:hint="eastAsia"/>
        </w:rPr>
        <w:t>轮胎电子商务交易信息归轮胎电子商务经营者所有，仅能被用于与轮胎电子商务交易、电子商务支付以及交易辅助服务等相关活动中。</w:t>
      </w:r>
      <w:r w:rsidR="00765DE3">
        <w:rPr>
          <w:rFonts w:ascii="宋体" w:eastAsia="宋体" w:hAnsi="宋体" w:hint="eastAsia"/>
        </w:rPr>
        <w:t>未</w:t>
      </w:r>
      <w:r w:rsidRPr="00600D09">
        <w:rPr>
          <w:rFonts w:ascii="宋体" w:eastAsia="宋体" w:hAnsi="宋体" w:hint="eastAsia"/>
        </w:rPr>
        <w:t>经交易方同意，不得向任何第三方披露、转让、使用或出售交易当事人名单、交易记录等涉及用户隐私或商业秘密的数据，但法律、法规另有规定的除外。</w:t>
      </w:r>
    </w:p>
    <w:p w:rsidR="00600D09" w:rsidRDefault="00600D09" w:rsidP="0098473E">
      <w:pPr>
        <w:pStyle w:val="a4"/>
        <w:spacing w:before="312" w:after="312"/>
      </w:pPr>
      <w:r w:rsidRPr="00600D09">
        <w:rPr>
          <w:rFonts w:hint="eastAsia"/>
        </w:rPr>
        <w:t>交易纠纷处理</w:t>
      </w:r>
    </w:p>
    <w:p w:rsidR="00600D09" w:rsidRPr="00600D09" w:rsidRDefault="00600D09" w:rsidP="00DE253F">
      <w:pPr>
        <w:pStyle w:val="a4"/>
        <w:numPr>
          <w:ilvl w:val="0"/>
          <w:numId w:val="0"/>
        </w:numPr>
        <w:spacing w:beforeLines="20" w:before="62" w:afterLines="20" w:after="62"/>
        <w:ind w:firstLineChars="200" w:firstLine="420"/>
        <w:rPr>
          <w:rFonts w:ascii="宋体" w:eastAsia="宋体" w:hAnsi="宋体"/>
        </w:rPr>
      </w:pPr>
      <w:r w:rsidRPr="00600D09">
        <w:rPr>
          <w:rFonts w:ascii="宋体" w:eastAsia="宋体" w:hAnsi="宋体"/>
          <w:color w:val="000000"/>
        </w:rPr>
        <w:t>轮胎电子商务</w:t>
      </w:r>
      <w:r w:rsidRPr="00600D09">
        <w:rPr>
          <w:rFonts w:ascii="宋体" w:eastAsia="宋体" w:hAnsi="宋体" w:hint="eastAsia"/>
          <w:color w:val="000000"/>
        </w:rPr>
        <w:t>经营者</w:t>
      </w:r>
      <w:r w:rsidRPr="00600D09">
        <w:rPr>
          <w:rFonts w:ascii="宋体" w:eastAsia="宋体" w:hAnsi="宋体"/>
          <w:color w:val="000000"/>
        </w:rPr>
        <w:t>应提供必要的电子商务纠纷处理机制和申诉渠道，当</w:t>
      </w:r>
      <w:r w:rsidRPr="00600D09">
        <w:rPr>
          <w:rFonts w:ascii="宋体" w:eastAsia="宋体" w:hAnsi="宋体"/>
        </w:rPr>
        <w:t>交易</w:t>
      </w:r>
      <w:r w:rsidRPr="00600D09">
        <w:rPr>
          <w:rFonts w:ascii="宋体" w:eastAsia="宋体" w:hAnsi="宋体" w:hint="eastAsia"/>
        </w:rPr>
        <w:t>相关</w:t>
      </w:r>
      <w:r w:rsidRPr="00600D09">
        <w:rPr>
          <w:rFonts w:ascii="宋体" w:eastAsia="宋体" w:hAnsi="宋体"/>
        </w:rPr>
        <w:t>方</w:t>
      </w:r>
      <w:r w:rsidRPr="00600D09">
        <w:rPr>
          <w:rFonts w:ascii="宋体" w:eastAsia="宋体" w:hAnsi="宋体" w:hint="eastAsia"/>
          <w:color w:val="000000"/>
        </w:rPr>
        <w:t>的</w:t>
      </w:r>
      <w:r w:rsidRPr="00600D09">
        <w:rPr>
          <w:rFonts w:ascii="宋体" w:eastAsia="宋体" w:hAnsi="宋体"/>
          <w:color w:val="000000"/>
        </w:rPr>
        <w:t>合法权益受到侵害时，</w:t>
      </w:r>
      <w:r w:rsidRPr="00600D09">
        <w:rPr>
          <w:rFonts w:ascii="宋体" w:eastAsia="宋体" w:hAnsi="宋体"/>
        </w:rPr>
        <w:t>轮胎电子商务</w:t>
      </w:r>
      <w:r w:rsidRPr="00600D09">
        <w:rPr>
          <w:rFonts w:ascii="宋体" w:eastAsia="宋体" w:hAnsi="宋体" w:hint="eastAsia"/>
        </w:rPr>
        <w:t>经营者应</w:t>
      </w:r>
      <w:r w:rsidRPr="00600D09">
        <w:rPr>
          <w:rFonts w:ascii="宋体" w:eastAsia="宋体" w:hAnsi="宋体"/>
        </w:rPr>
        <w:t>协助权益被侵害方进行信息取证</w:t>
      </w:r>
      <w:r w:rsidRPr="00600D09">
        <w:rPr>
          <w:rFonts w:ascii="宋体" w:eastAsia="宋体" w:hAnsi="宋体" w:hint="eastAsia"/>
        </w:rPr>
        <w:t>，并</w:t>
      </w:r>
      <w:r w:rsidRPr="00600D09">
        <w:rPr>
          <w:rFonts w:ascii="宋体" w:eastAsia="宋体" w:hAnsi="宋体"/>
        </w:rPr>
        <w:t>与交易</w:t>
      </w:r>
      <w:r w:rsidRPr="00600D09">
        <w:rPr>
          <w:rFonts w:ascii="宋体" w:eastAsia="宋体" w:hAnsi="宋体" w:hint="eastAsia"/>
        </w:rPr>
        <w:t>相关</w:t>
      </w:r>
      <w:r w:rsidRPr="00600D09">
        <w:rPr>
          <w:rFonts w:ascii="宋体" w:eastAsia="宋体" w:hAnsi="宋体"/>
        </w:rPr>
        <w:t>方进行纠纷协调</w:t>
      </w:r>
      <w:r w:rsidRPr="00600D09">
        <w:rPr>
          <w:rFonts w:ascii="宋体" w:eastAsia="宋体" w:hAnsi="宋体" w:hint="eastAsia"/>
        </w:rPr>
        <w:t>解决</w:t>
      </w:r>
      <w:r w:rsidRPr="00600D09">
        <w:rPr>
          <w:rFonts w:ascii="宋体" w:eastAsia="宋体" w:hAnsi="宋体"/>
        </w:rPr>
        <w:t>，</w:t>
      </w:r>
      <w:r w:rsidRPr="00600D09">
        <w:rPr>
          <w:rFonts w:ascii="宋体" w:eastAsia="宋体" w:hAnsi="宋体" w:hint="eastAsia"/>
        </w:rPr>
        <w:t>或请求消费者组织、行业协会、其他依法成立的调解组织调解，如协商、调解不能解决按相关法律规定提请仲裁机构仲裁或向人民法院提起诉讼</w:t>
      </w:r>
      <w:r w:rsidRPr="00600D09">
        <w:rPr>
          <w:rFonts w:ascii="宋体" w:eastAsia="宋体" w:hAnsi="宋体" w:hint="eastAsia"/>
          <w:color w:val="000000"/>
        </w:rPr>
        <w:t>，</w:t>
      </w:r>
      <w:r w:rsidRPr="00600D09">
        <w:rPr>
          <w:rFonts w:ascii="宋体" w:eastAsia="宋体" w:hAnsi="宋体"/>
          <w:color w:val="000000"/>
        </w:rPr>
        <w:t>有效保证各参与交易方的利益不被侵害。</w:t>
      </w:r>
    </w:p>
    <w:p w:rsidR="00F34B99" w:rsidRPr="002D463C" w:rsidRDefault="002D463C" w:rsidP="002D463C">
      <w:pPr>
        <w:pStyle w:val="affffff4"/>
        <w:framePr w:wrap="around"/>
      </w:pPr>
      <w:r>
        <w:t>_________________________________</w:t>
      </w:r>
    </w:p>
    <w:sectPr w:rsidR="00F34B99" w:rsidRPr="002D463C"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4A" w:rsidRDefault="00EA6E4A">
      <w:r>
        <w:separator/>
      </w:r>
    </w:p>
  </w:endnote>
  <w:endnote w:type="continuationSeparator" w:id="0">
    <w:p w:rsidR="00EA6E4A" w:rsidRDefault="00E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A" w:rsidRDefault="00422663" w:rsidP="002D463C">
    <w:pPr>
      <w:pStyle w:val="aff7"/>
    </w:pPr>
    <w:r>
      <w:fldChar w:fldCharType="begin"/>
    </w:r>
    <w:r w:rsidR="0020559A">
      <w:instrText xml:space="preserve"> PAGE  \* MERGEFORMAT </w:instrText>
    </w:r>
    <w:r>
      <w:fldChar w:fldCharType="separate"/>
    </w:r>
    <w:r w:rsidR="00714A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4A" w:rsidRDefault="00EA6E4A">
      <w:r>
        <w:separator/>
      </w:r>
    </w:p>
  </w:footnote>
  <w:footnote w:type="continuationSeparator" w:id="0">
    <w:p w:rsidR="00EA6E4A" w:rsidRDefault="00E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A" w:rsidRDefault="00AD6F64" w:rsidP="00F34B99">
    <w:pPr>
      <w:pStyle w:val="aff8"/>
    </w:pPr>
    <w:r>
      <w:t>XX/T XXXXX</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156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31E4C43"/>
    <w:multiLevelType w:val="hybridMultilevel"/>
    <w:tmpl w:val="40D20F7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6DBF04F4"/>
    <w:multiLevelType w:val="multilevel"/>
    <w:tmpl w:val="5BEC0A32"/>
    <w:lvl w:ilvl="0">
      <w:start w:val="1"/>
      <w:numFmt w:val="none"/>
      <w:pStyle w:val="aff1"/>
      <w:suff w:val="nothing"/>
      <w:lvlText w:val="%1注："/>
      <w:lvlJc w:val="left"/>
      <w:pPr>
        <w:ind w:left="1640" w:hanging="363"/>
      </w:pPr>
      <w:rPr>
        <w:rFonts w:ascii="黑体" w:eastAsia="黑体" w:hAnsi="Times New Roman" w:hint="eastAsia"/>
        <w:b w:val="0"/>
        <w:i w:val="0"/>
        <w:sz w:val="18"/>
      </w:rPr>
    </w:lvl>
    <w:lvl w:ilvl="1">
      <w:start w:val="1"/>
      <w:numFmt w:val="lowerLetter"/>
      <w:lvlText w:val="%2)"/>
      <w:lvlJc w:val="left"/>
      <w:pPr>
        <w:tabs>
          <w:tab w:val="num" w:pos="2054"/>
        </w:tabs>
        <w:ind w:left="1640" w:hanging="363"/>
      </w:pPr>
      <w:rPr>
        <w:rFonts w:hint="eastAsia"/>
      </w:rPr>
    </w:lvl>
    <w:lvl w:ilvl="2">
      <w:start w:val="1"/>
      <w:numFmt w:val="lowerRoman"/>
      <w:lvlText w:val="%3."/>
      <w:lvlJc w:val="right"/>
      <w:pPr>
        <w:tabs>
          <w:tab w:val="num" w:pos="2054"/>
        </w:tabs>
        <w:ind w:left="1640" w:hanging="363"/>
      </w:pPr>
      <w:rPr>
        <w:rFonts w:hint="eastAsia"/>
      </w:rPr>
    </w:lvl>
    <w:lvl w:ilvl="3">
      <w:start w:val="1"/>
      <w:numFmt w:val="decimal"/>
      <w:lvlText w:val="%4."/>
      <w:lvlJc w:val="left"/>
      <w:pPr>
        <w:tabs>
          <w:tab w:val="num" w:pos="2054"/>
        </w:tabs>
        <w:ind w:left="1640" w:hanging="363"/>
      </w:pPr>
      <w:rPr>
        <w:rFonts w:hint="eastAsia"/>
      </w:rPr>
    </w:lvl>
    <w:lvl w:ilvl="4">
      <w:start w:val="1"/>
      <w:numFmt w:val="lowerLetter"/>
      <w:lvlText w:val="%5)"/>
      <w:lvlJc w:val="left"/>
      <w:pPr>
        <w:tabs>
          <w:tab w:val="num" w:pos="2054"/>
        </w:tabs>
        <w:ind w:left="1640" w:hanging="363"/>
      </w:pPr>
      <w:rPr>
        <w:rFonts w:hint="eastAsia"/>
      </w:rPr>
    </w:lvl>
    <w:lvl w:ilvl="5">
      <w:start w:val="1"/>
      <w:numFmt w:val="lowerRoman"/>
      <w:lvlText w:val="%6."/>
      <w:lvlJc w:val="right"/>
      <w:pPr>
        <w:tabs>
          <w:tab w:val="num" w:pos="2054"/>
        </w:tabs>
        <w:ind w:left="1640" w:hanging="363"/>
      </w:pPr>
      <w:rPr>
        <w:rFonts w:hint="eastAsia"/>
      </w:rPr>
    </w:lvl>
    <w:lvl w:ilvl="6">
      <w:start w:val="1"/>
      <w:numFmt w:val="decimal"/>
      <w:lvlText w:val="%7."/>
      <w:lvlJc w:val="left"/>
      <w:pPr>
        <w:tabs>
          <w:tab w:val="num" w:pos="2054"/>
        </w:tabs>
        <w:ind w:left="1640" w:hanging="363"/>
      </w:pPr>
      <w:rPr>
        <w:rFonts w:hint="eastAsia"/>
      </w:rPr>
    </w:lvl>
    <w:lvl w:ilvl="7">
      <w:start w:val="1"/>
      <w:numFmt w:val="lowerLetter"/>
      <w:lvlText w:val="%8)"/>
      <w:lvlJc w:val="left"/>
      <w:pPr>
        <w:tabs>
          <w:tab w:val="num" w:pos="2054"/>
        </w:tabs>
        <w:ind w:left="1640" w:hanging="363"/>
      </w:pPr>
      <w:rPr>
        <w:rFonts w:hint="eastAsia"/>
      </w:rPr>
    </w:lvl>
    <w:lvl w:ilvl="8">
      <w:start w:val="1"/>
      <w:numFmt w:val="lowerRoman"/>
      <w:lvlText w:val="%9."/>
      <w:lvlJc w:val="right"/>
      <w:pPr>
        <w:tabs>
          <w:tab w:val="num" w:pos="2054"/>
        </w:tabs>
        <w:ind w:left="1640" w:hanging="363"/>
      </w:pPr>
      <w:rPr>
        <w:rFonts w:hint="eastAsia"/>
      </w:rPr>
    </w:lvl>
  </w:abstractNum>
  <w:abstractNum w:abstractNumId="23">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2"/>
  </w:num>
  <w:num w:numId="3">
    <w:abstractNumId w:val="0"/>
  </w:num>
  <w:num w:numId="4">
    <w:abstractNumId w:val="7"/>
  </w:num>
  <w:num w:numId="5">
    <w:abstractNumId w:val="4"/>
  </w:num>
  <w:num w:numId="6">
    <w:abstractNumId w:val="12"/>
  </w:num>
  <w:num w:numId="7">
    <w:abstractNumId w:val="17"/>
  </w:num>
  <w:num w:numId="8">
    <w:abstractNumId w:val="6"/>
  </w:num>
  <w:num w:numId="9">
    <w:abstractNumId w:val="19"/>
  </w:num>
  <w:num w:numId="10">
    <w:abstractNumId w:val="21"/>
  </w:num>
  <w:num w:numId="11">
    <w:abstractNumId w:val="1"/>
  </w:num>
  <w:num w:numId="12">
    <w:abstractNumId w:val="10"/>
  </w:num>
  <w:num w:numId="13">
    <w:abstractNumId w:val="3"/>
  </w:num>
  <w:num w:numId="14">
    <w:abstractNumId w:val="20"/>
  </w:num>
  <w:num w:numId="15">
    <w:abstractNumId w:val="18"/>
  </w:num>
  <w:num w:numId="16">
    <w:abstractNumId w:val="14"/>
  </w:num>
  <w:num w:numId="17">
    <w:abstractNumId w:val="11"/>
  </w:num>
  <w:num w:numId="18">
    <w:abstractNumId w:val="13"/>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5"/>
  </w:num>
  <w:num w:numId="32">
    <w:abstractNumId w:val="24"/>
  </w:num>
  <w:num w:numId="33">
    <w:abstractNumId w:val="16"/>
  </w:num>
  <w:num w:numId="34">
    <w:abstractNumId w:val="23"/>
  </w:num>
  <w:num w:numId="35">
    <w:abstractNumId w:val="8"/>
  </w:num>
  <w:num w:numId="36">
    <w:abstractNumId w:val="5"/>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46AE3"/>
    <w:rsid w:val="00047575"/>
    <w:rsid w:val="000538E8"/>
    <w:rsid w:val="00060A45"/>
    <w:rsid w:val="00067CDF"/>
    <w:rsid w:val="00073535"/>
    <w:rsid w:val="00074FBE"/>
    <w:rsid w:val="00083A09"/>
    <w:rsid w:val="00083D1D"/>
    <w:rsid w:val="0009005E"/>
    <w:rsid w:val="00092857"/>
    <w:rsid w:val="0009476E"/>
    <w:rsid w:val="000A1354"/>
    <w:rsid w:val="000A20A9"/>
    <w:rsid w:val="000A48B1"/>
    <w:rsid w:val="000B3143"/>
    <w:rsid w:val="000C4867"/>
    <w:rsid w:val="000C6B05"/>
    <w:rsid w:val="000C6DD6"/>
    <w:rsid w:val="000C73D4"/>
    <w:rsid w:val="000D3D4C"/>
    <w:rsid w:val="000D4F51"/>
    <w:rsid w:val="000D718B"/>
    <w:rsid w:val="000E0C46"/>
    <w:rsid w:val="000F030C"/>
    <w:rsid w:val="000F129C"/>
    <w:rsid w:val="000F7D8B"/>
    <w:rsid w:val="001056DE"/>
    <w:rsid w:val="001124C0"/>
    <w:rsid w:val="0013175F"/>
    <w:rsid w:val="001512B4"/>
    <w:rsid w:val="001620A5"/>
    <w:rsid w:val="00163FEB"/>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559A"/>
    <w:rsid w:val="00234467"/>
    <w:rsid w:val="00237D8D"/>
    <w:rsid w:val="00241DA2"/>
    <w:rsid w:val="00247FEE"/>
    <w:rsid w:val="00250E7D"/>
    <w:rsid w:val="002565D5"/>
    <w:rsid w:val="002622C0"/>
    <w:rsid w:val="002778AE"/>
    <w:rsid w:val="0028269A"/>
    <w:rsid w:val="00282B9B"/>
    <w:rsid w:val="00283590"/>
    <w:rsid w:val="00286973"/>
    <w:rsid w:val="002903D2"/>
    <w:rsid w:val="0029242F"/>
    <w:rsid w:val="00294E70"/>
    <w:rsid w:val="002A1924"/>
    <w:rsid w:val="002A7420"/>
    <w:rsid w:val="002B0F12"/>
    <w:rsid w:val="002B1308"/>
    <w:rsid w:val="002B4554"/>
    <w:rsid w:val="002C72D8"/>
    <w:rsid w:val="002D11FA"/>
    <w:rsid w:val="002D463C"/>
    <w:rsid w:val="002E0DDF"/>
    <w:rsid w:val="002E2906"/>
    <w:rsid w:val="002E5635"/>
    <w:rsid w:val="002E64C3"/>
    <w:rsid w:val="002E6A2C"/>
    <w:rsid w:val="002F1D8C"/>
    <w:rsid w:val="002F21DA"/>
    <w:rsid w:val="00301F39"/>
    <w:rsid w:val="003236B4"/>
    <w:rsid w:val="00325926"/>
    <w:rsid w:val="00327A8A"/>
    <w:rsid w:val="00336610"/>
    <w:rsid w:val="00343F73"/>
    <w:rsid w:val="00345060"/>
    <w:rsid w:val="0035323B"/>
    <w:rsid w:val="003609D2"/>
    <w:rsid w:val="00363F22"/>
    <w:rsid w:val="003719B0"/>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E6732"/>
    <w:rsid w:val="003F4EE0"/>
    <w:rsid w:val="00402153"/>
    <w:rsid w:val="00402FC1"/>
    <w:rsid w:val="00422663"/>
    <w:rsid w:val="00425082"/>
    <w:rsid w:val="00431DEB"/>
    <w:rsid w:val="00446B29"/>
    <w:rsid w:val="00453F9A"/>
    <w:rsid w:val="00463E6B"/>
    <w:rsid w:val="00471E91"/>
    <w:rsid w:val="00474675"/>
    <w:rsid w:val="0047470C"/>
    <w:rsid w:val="00482DCC"/>
    <w:rsid w:val="004907CE"/>
    <w:rsid w:val="00494969"/>
    <w:rsid w:val="004A35F9"/>
    <w:rsid w:val="004B24C1"/>
    <w:rsid w:val="004C292F"/>
    <w:rsid w:val="00510280"/>
    <w:rsid w:val="00513D73"/>
    <w:rsid w:val="00514A43"/>
    <w:rsid w:val="005174E5"/>
    <w:rsid w:val="00522393"/>
    <w:rsid w:val="00522620"/>
    <w:rsid w:val="00525656"/>
    <w:rsid w:val="00532AB4"/>
    <w:rsid w:val="00534C02"/>
    <w:rsid w:val="005366A6"/>
    <w:rsid w:val="0054264B"/>
    <w:rsid w:val="00542D82"/>
    <w:rsid w:val="00543786"/>
    <w:rsid w:val="005472DD"/>
    <w:rsid w:val="005533D7"/>
    <w:rsid w:val="00554E03"/>
    <w:rsid w:val="005703DE"/>
    <w:rsid w:val="0058464E"/>
    <w:rsid w:val="005A01CB"/>
    <w:rsid w:val="005A58FF"/>
    <w:rsid w:val="005A5EAF"/>
    <w:rsid w:val="005A64C0"/>
    <w:rsid w:val="005B3C11"/>
    <w:rsid w:val="005C1C28"/>
    <w:rsid w:val="005C6DB5"/>
    <w:rsid w:val="005E19E7"/>
    <w:rsid w:val="00600D09"/>
    <w:rsid w:val="0061716C"/>
    <w:rsid w:val="006243A1"/>
    <w:rsid w:val="00632E56"/>
    <w:rsid w:val="00633650"/>
    <w:rsid w:val="00635CBA"/>
    <w:rsid w:val="0064338B"/>
    <w:rsid w:val="00646542"/>
    <w:rsid w:val="006504F4"/>
    <w:rsid w:val="00654BC9"/>
    <w:rsid w:val="006552FD"/>
    <w:rsid w:val="00663AF3"/>
    <w:rsid w:val="00666B6C"/>
    <w:rsid w:val="00682682"/>
    <w:rsid w:val="00682702"/>
    <w:rsid w:val="00692368"/>
    <w:rsid w:val="00693F8A"/>
    <w:rsid w:val="006A2EBC"/>
    <w:rsid w:val="006A5EA0"/>
    <w:rsid w:val="006A783B"/>
    <w:rsid w:val="006A7850"/>
    <w:rsid w:val="006A7B33"/>
    <w:rsid w:val="006B4E13"/>
    <w:rsid w:val="006B75DD"/>
    <w:rsid w:val="006B75E4"/>
    <w:rsid w:val="006C67E0"/>
    <w:rsid w:val="006C7ABA"/>
    <w:rsid w:val="006D0D60"/>
    <w:rsid w:val="006D1122"/>
    <w:rsid w:val="006D3C00"/>
    <w:rsid w:val="006E3675"/>
    <w:rsid w:val="006E4A7F"/>
    <w:rsid w:val="00704DF6"/>
    <w:rsid w:val="0070651C"/>
    <w:rsid w:val="007132A3"/>
    <w:rsid w:val="00714A19"/>
    <w:rsid w:val="00716421"/>
    <w:rsid w:val="007178D0"/>
    <w:rsid w:val="00724EFB"/>
    <w:rsid w:val="007419C3"/>
    <w:rsid w:val="007467A7"/>
    <w:rsid w:val="007469DD"/>
    <w:rsid w:val="0074741B"/>
    <w:rsid w:val="0074759E"/>
    <w:rsid w:val="007478EA"/>
    <w:rsid w:val="0075415C"/>
    <w:rsid w:val="00763502"/>
    <w:rsid w:val="00765DE3"/>
    <w:rsid w:val="007913AB"/>
    <w:rsid w:val="007914F7"/>
    <w:rsid w:val="007A09A0"/>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377F3"/>
    <w:rsid w:val="008504A8"/>
    <w:rsid w:val="0085282E"/>
    <w:rsid w:val="0087198C"/>
    <w:rsid w:val="008728B2"/>
    <w:rsid w:val="00872C1F"/>
    <w:rsid w:val="00873B42"/>
    <w:rsid w:val="008856D8"/>
    <w:rsid w:val="00892E82"/>
    <w:rsid w:val="008B1018"/>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473E"/>
    <w:rsid w:val="009877D3"/>
    <w:rsid w:val="00994E8F"/>
    <w:rsid w:val="009951DC"/>
    <w:rsid w:val="009959BB"/>
    <w:rsid w:val="00997158"/>
    <w:rsid w:val="009A3A7C"/>
    <w:rsid w:val="009B2ADB"/>
    <w:rsid w:val="009B603A"/>
    <w:rsid w:val="009C2D0E"/>
    <w:rsid w:val="009C3DAC"/>
    <w:rsid w:val="009C42E0"/>
    <w:rsid w:val="009C75A4"/>
    <w:rsid w:val="009D187B"/>
    <w:rsid w:val="009D23D7"/>
    <w:rsid w:val="009D5362"/>
    <w:rsid w:val="009E11B6"/>
    <w:rsid w:val="009E1415"/>
    <w:rsid w:val="009E6116"/>
    <w:rsid w:val="00A02E43"/>
    <w:rsid w:val="00A065F9"/>
    <w:rsid w:val="00A07F34"/>
    <w:rsid w:val="00A22154"/>
    <w:rsid w:val="00A25C38"/>
    <w:rsid w:val="00A27940"/>
    <w:rsid w:val="00A36BBE"/>
    <w:rsid w:val="00A4307A"/>
    <w:rsid w:val="00A45511"/>
    <w:rsid w:val="00A47EBB"/>
    <w:rsid w:val="00A51CDD"/>
    <w:rsid w:val="00A54BB9"/>
    <w:rsid w:val="00A6730D"/>
    <w:rsid w:val="00A71625"/>
    <w:rsid w:val="00A71B9B"/>
    <w:rsid w:val="00A751C7"/>
    <w:rsid w:val="00A77E60"/>
    <w:rsid w:val="00A87844"/>
    <w:rsid w:val="00A975B8"/>
    <w:rsid w:val="00AA038C"/>
    <w:rsid w:val="00AA7A09"/>
    <w:rsid w:val="00AB3B50"/>
    <w:rsid w:val="00AC05B1"/>
    <w:rsid w:val="00AD356C"/>
    <w:rsid w:val="00AD6F64"/>
    <w:rsid w:val="00AE2914"/>
    <w:rsid w:val="00AE6D15"/>
    <w:rsid w:val="00AF4277"/>
    <w:rsid w:val="00B04182"/>
    <w:rsid w:val="00B05DC0"/>
    <w:rsid w:val="00B07AE3"/>
    <w:rsid w:val="00B11430"/>
    <w:rsid w:val="00B12974"/>
    <w:rsid w:val="00B32C69"/>
    <w:rsid w:val="00B353EB"/>
    <w:rsid w:val="00B439C4"/>
    <w:rsid w:val="00B4535E"/>
    <w:rsid w:val="00B52A8C"/>
    <w:rsid w:val="00B636A8"/>
    <w:rsid w:val="00B665C6"/>
    <w:rsid w:val="00B805AF"/>
    <w:rsid w:val="00B846B5"/>
    <w:rsid w:val="00B869EC"/>
    <w:rsid w:val="00B9397A"/>
    <w:rsid w:val="00B9633D"/>
    <w:rsid w:val="00BA2293"/>
    <w:rsid w:val="00BA2EBE"/>
    <w:rsid w:val="00BB0F28"/>
    <w:rsid w:val="00BB458A"/>
    <w:rsid w:val="00BD00D3"/>
    <w:rsid w:val="00BD1659"/>
    <w:rsid w:val="00BD3AA9"/>
    <w:rsid w:val="00BD4A18"/>
    <w:rsid w:val="00BD6D16"/>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0FE6"/>
    <w:rsid w:val="00C314E1"/>
    <w:rsid w:val="00C34397"/>
    <w:rsid w:val="00C4095D"/>
    <w:rsid w:val="00C601D2"/>
    <w:rsid w:val="00C65BCC"/>
    <w:rsid w:val="00C66970"/>
    <w:rsid w:val="00C8691C"/>
    <w:rsid w:val="00C87145"/>
    <w:rsid w:val="00CA168A"/>
    <w:rsid w:val="00CA357E"/>
    <w:rsid w:val="00CA44F9"/>
    <w:rsid w:val="00CA4A69"/>
    <w:rsid w:val="00CC3D77"/>
    <w:rsid w:val="00CC3E0C"/>
    <w:rsid w:val="00CC58D3"/>
    <w:rsid w:val="00CC784D"/>
    <w:rsid w:val="00CD45B4"/>
    <w:rsid w:val="00D0337B"/>
    <w:rsid w:val="00D079B2"/>
    <w:rsid w:val="00D114E9"/>
    <w:rsid w:val="00D429C6"/>
    <w:rsid w:val="00D47748"/>
    <w:rsid w:val="00D54CC3"/>
    <w:rsid w:val="00D6041A"/>
    <w:rsid w:val="00D633EB"/>
    <w:rsid w:val="00D665AB"/>
    <w:rsid w:val="00D82FF7"/>
    <w:rsid w:val="00D847FE"/>
    <w:rsid w:val="00D964EA"/>
    <w:rsid w:val="00D966D0"/>
    <w:rsid w:val="00DA0C59"/>
    <w:rsid w:val="00DA15CE"/>
    <w:rsid w:val="00DA3991"/>
    <w:rsid w:val="00DA6812"/>
    <w:rsid w:val="00DA79FE"/>
    <w:rsid w:val="00DB0849"/>
    <w:rsid w:val="00DB7E6C"/>
    <w:rsid w:val="00DD5A29"/>
    <w:rsid w:val="00DD5D9D"/>
    <w:rsid w:val="00DE253F"/>
    <w:rsid w:val="00DE35CB"/>
    <w:rsid w:val="00DF0B32"/>
    <w:rsid w:val="00DF21E9"/>
    <w:rsid w:val="00E00F14"/>
    <w:rsid w:val="00E06386"/>
    <w:rsid w:val="00E20C00"/>
    <w:rsid w:val="00E226B8"/>
    <w:rsid w:val="00E229F8"/>
    <w:rsid w:val="00E24EB4"/>
    <w:rsid w:val="00E320ED"/>
    <w:rsid w:val="00E33AFB"/>
    <w:rsid w:val="00E34218"/>
    <w:rsid w:val="00E46282"/>
    <w:rsid w:val="00E5216E"/>
    <w:rsid w:val="00E82344"/>
    <w:rsid w:val="00E84C82"/>
    <w:rsid w:val="00E84D64"/>
    <w:rsid w:val="00E87408"/>
    <w:rsid w:val="00E914C4"/>
    <w:rsid w:val="00E934F5"/>
    <w:rsid w:val="00E96961"/>
    <w:rsid w:val="00EA6E4A"/>
    <w:rsid w:val="00EA72EC"/>
    <w:rsid w:val="00EB11CB"/>
    <w:rsid w:val="00EB275A"/>
    <w:rsid w:val="00EB786A"/>
    <w:rsid w:val="00EC1578"/>
    <w:rsid w:val="00EC1C72"/>
    <w:rsid w:val="00EC3CC9"/>
    <w:rsid w:val="00EC680A"/>
    <w:rsid w:val="00EE2BED"/>
    <w:rsid w:val="00EE374B"/>
    <w:rsid w:val="00EE3FDC"/>
    <w:rsid w:val="00F11BB5"/>
    <w:rsid w:val="00F1417B"/>
    <w:rsid w:val="00F34B99"/>
    <w:rsid w:val="00F51254"/>
    <w:rsid w:val="00F52DAB"/>
    <w:rsid w:val="00F543F0"/>
    <w:rsid w:val="00F81D29"/>
    <w:rsid w:val="00F846D3"/>
    <w:rsid w:val="00F91C4D"/>
    <w:rsid w:val="00F92FD9"/>
    <w:rsid w:val="00FA64D7"/>
    <w:rsid w:val="00FA6684"/>
    <w:rsid w:val="00FA731E"/>
    <w:rsid w:val="00FB2B38"/>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styleId="affffff7">
    <w:name w:val="Balloon Text"/>
    <w:basedOn w:val="aff2"/>
    <w:link w:val="Char2"/>
    <w:rsid w:val="00542D82"/>
    <w:rPr>
      <w:sz w:val="18"/>
      <w:szCs w:val="18"/>
    </w:rPr>
  </w:style>
  <w:style w:type="character" w:customStyle="1" w:styleId="Char2">
    <w:name w:val="批注框文本 Char"/>
    <w:basedOn w:val="aff3"/>
    <w:link w:val="affffff7"/>
    <w:rsid w:val="00542D8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styleId="affffff7">
    <w:name w:val="Balloon Text"/>
    <w:basedOn w:val="aff2"/>
    <w:link w:val="Char2"/>
    <w:rsid w:val="00542D82"/>
    <w:rPr>
      <w:sz w:val="18"/>
      <w:szCs w:val="18"/>
    </w:rPr>
  </w:style>
  <w:style w:type="character" w:customStyle="1" w:styleId="Char2">
    <w:name w:val="批注框文本 Char"/>
    <w:basedOn w:val="aff3"/>
    <w:link w:val="affffff7"/>
    <w:rsid w:val="00542D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B552-5A6A-4441-88BC-3A73098E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734</Words>
  <Characters>4189</Characters>
  <Application>Microsoft Office Word</Application>
  <DocSecurity>0</DocSecurity>
  <Lines>34</Lines>
  <Paragraphs>9</Paragraphs>
  <ScaleCrop>false</ScaleCrop>
  <Company>zle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mofcom</cp:lastModifiedBy>
  <cp:revision>4</cp:revision>
  <cp:lastPrinted>2018-07-06T03:02:00Z</cp:lastPrinted>
  <dcterms:created xsi:type="dcterms:W3CDTF">2018-07-06T02:51:00Z</dcterms:created>
  <dcterms:modified xsi:type="dcterms:W3CDTF">2018-07-06T06:43:00Z</dcterms:modified>
</cp:coreProperties>
</file>