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仿宋" w:eastAsia="仿宋_GB2312" w:cs="Arial"/>
          <w:b/>
          <w:sz w:val="32"/>
          <w:szCs w:val="32"/>
        </w:rPr>
      </w:pPr>
      <w:r>
        <w:rPr>
          <w:rFonts w:hint="eastAsia" w:ascii="仿宋_GB2312" w:hAnsi="仿宋" w:eastAsia="仿宋_GB2312" w:cs="Arial"/>
          <w:b/>
          <w:sz w:val="32"/>
          <w:szCs w:val="32"/>
        </w:rPr>
        <w:t>附件1：</w:t>
      </w:r>
    </w:p>
    <w:p>
      <w:pPr>
        <w:spacing w:line="360" w:lineRule="auto"/>
        <w:ind w:firstLine="3694" w:firstLineChars="1150"/>
        <w:rPr>
          <w:rFonts w:ascii="仿宋_GB2312" w:hAnsi="仿宋" w:eastAsia="仿宋_GB2312" w:cs="Arial"/>
          <w:b/>
          <w:sz w:val="32"/>
          <w:szCs w:val="32"/>
        </w:rPr>
      </w:pPr>
      <w:r>
        <w:rPr>
          <w:rFonts w:hint="eastAsia" w:ascii="仿宋_GB2312" w:hAnsi="仿宋" w:eastAsia="仿宋_GB2312" w:cs="Arial"/>
          <w:b/>
          <w:sz w:val="32"/>
          <w:szCs w:val="32"/>
        </w:rPr>
        <w:t>培训内容</w:t>
      </w:r>
    </w:p>
    <w:p>
      <w:pPr>
        <w:spacing w:line="360" w:lineRule="auto"/>
        <w:ind w:firstLine="630" w:firstLineChars="196"/>
        <w:rPr>
          <w:rFonts w:ascii="仿宋_GB2312" w:hAnsi="仿宋" w:eastAsia="仿宋_GB2312" w:cs="Arial"/>
          <w:b/>
          <w:sz w:val="32"/>
          <w:szCs w:val="32"/>
        </w:rPr>
      </w:pPr>
      <w:r>
        <w:rPr>
          <w:rFonts w:hint="eastAsia" w:ascii="仿宋_GB2312" w:hAnsi="仿宋" w:eastAsia="仿宋_GB2312" w:cs="Arial"/>
          <w:b/>
          <w:sz w:val="32"/>
          <w:szCs w:val="32"/>
        </w:rPr>
        <w:t>第一部分 创业投资企业及税收优惠</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1.截止2020年5月，我国科创板上市公司（超过100家）股权结构“新气象”背后的涉税逻辑在哪里？</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2.2020年5月，民建中央《关于进一步完善创业投资税收优惠政策的提案》中的五个提案怎么理解？</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 xml:space="preserve">3.创业投资税收优惠（2008-2019年）：历史演进、政策释疑及涉税要点     </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4.有限合伙制创业投资企业单一基金模式核算和年度整体核算的选择困境-基于财税[2019]8号的理解</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5.上市公司创业投资基金股东减持股份的特别规定（2020年版）主要规定解析</w:t>
      </w:r>
    </w:p>
    <w:p>
      <w:pPr>
        <w:spacing w:line="360" w:lineRule="auto"/>
        <w:ind w:firstLine="627" w:firstLineChars="196"/>
        <w:rPr>
          <w:rFonts w:ascii="仿宋_GB2312" w:hAnsi="Arial" w:eastAsia="仿宋_GB2312" w:cs="Arial"/>
          <w:b/>
          <w:sz w:val="32"/>
          <w:szCs w:val="32"/>
        </w:rPr>
      </w:pPr>
      <w:r>
        <w:rPr>
          <w:rFonts w:hint="eastAsia" w:ascii="仿宋_GB2312" w:hAnsi="仿宋" w:eastAsia="仿宋_GB2312"/>
          <w:sz w:val="32"/>
          <w:szCs w:val="32"/>
        </w:rPr>
        <w:t>6.两则具体案例解析：创业投资企业如何享受税收优惠、申报表填报及资料留存备查等？</w:t>
      </w:r>
    </w:p>
    <w:p>
      <w:pPr>
        <w:spacing w:line="360" w:lineRule="auto"/>
        <w:ind w:firstLine="630" w:firstLineChars="196"/>
        <w:rPr>
          <w:rFonts w:ascii="仿宋_GB2312" w:hAnsi="仿宋" w:eastAsia="仿宋_GB2312" w:cs="Arial"/>
          <w:b/>
          <w:sz w:val="32"/>
          <w:szCs w:val="32"/>
        </w:rPr>
      </w:pPr>
      <w:r>
        <w:rPr>
          <w:rFonts w:hint="eastAsia" w:ascii="仿宋_GB2312" w:hAnsi="仿宋" w:eastAsia="仿宋_GB2312" w:cs="Arial"/>
          <w:b/>
          <w:sz w:val="32"/>
          <w:szCs w:val="32"/>
        </w:rPr>
        <w:t>第二部分 合伙制私募基金相关的所得税、增值税、印花税等基本涉税问题</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7.合伙制私募基金涉及哪三个维度的税务问题？</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8.合伙企业所得税税收政策（包括财税[2008]59号、财税[2000]91号及国税函[2001]84号等）详细解析及面临的实务困境；</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9.如何理解合伙企业内部计税基础和外部计税基础的动态调整及协调？</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10.为何我国不少股权投资基金等选址在宁波梅山、江西共青城等地，我国目前有哪些常见税收优惠地？相关涉税风险如何？</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11.案例解析：法人投资者如何进行企业所得税处理？如何处理会计核算与企业所得税纳税调整的衔接问题？基于《企业所得税年度纳税申报表》（A类，2017年版，2019年底调整）中“纳税调整项目明细表（A105000）”第41行的深度分析；</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 xml:space="preserve">12.案例解析：自然人合伙人如何进行个人所得税处理？结合2018年个税改革新政、国家税务总局公告2019年第46号、7号公告等政策，关于《个人所得税经营所得纳税申报表》最新表单及填表说明的实务操作及风险提示； </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13.“贷款服务”缴纳增值税以及保本性质的判断问题；</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14.“金融商品转让”项目缴纳增值税的案例探讨；</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15.限售股买入价确定及实际成本选择的实务疑难问题暨2020年4月国家税务总局公告2020年第9号第4条的理解；</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16.两个案例详细解析私募基金项目退出环节：涉及限售股转让的增值税、印花税和所得税问题；</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17.合伙制私募基金涉及印花税的三个核心问题；</w:t>
      </w:r>
      <w:bookmarkStart w:id="0" w:name="_Toc32404340"/>
    </w:p>
    <w:p>
      <w:pPr>
        <w:spacing w:line="360" w:lineRule="auto"/>
        <w:ind w:firstLine="627" w:firstLineChars="196"/>
        <w:rPr>
          <w:rFonts w:ascii="仿宋_GB2312" w:hAnsi="仿宋" w:eastAsia="仿宋_GB2312" w:cs="Arial"/>
          <w:b/>
          <w:sz w:val="32"/>
          <w:szCs w:val="32"/>
        </w:rPr>
      </w:pPr>
      <w:r>
        <w:rPr>
          <w:rFonts w:hint="eastAsia" w:ascii="仿宋_GB2312" w:hAnsi="仿宋" w:eastAsia="仿宋_GB2312"/>
          <w:sz w:val="32"/>
          <w:szCs w:val="32"/>
        </w:rPr>
        <w:t>18.合伙企业亏损弥补的五个注意事项</w:t>
      </w:r>
      <w:bookmarkEnd w:id="0"/>
      <w:r>
        <w:rPr>
          <w:rFonts w:hint="eastAsia" w:ascii="仿宋_GB2312" w:hAnsi="仿宋" w:eastAsia="仿宋_GB2312"/>
          <w:sz w:val="32"/>
          <w:szCs w:val="32"/>
        </w:rPr>
        <w:t>。</w:t>
      </w:r>
    </w:p>
    <w:p>
      <w:pPr>
        <w:spacing w:line="360" w:lineRule="auto"/>
        <w:ind w:firstLine="630" w:firstLineChars="196"/>
        <w:rPr>
          <w:rFonts w:ascii="仿宋_GB2312" w:hAnsi="仿宋" w:eastAsia="仿宋_GB2312" w:cs="Arial"/>
          <w:b/>
          <w:sz w:val="32"/>
          <w:szCs w:val="32"/>
        </w:rPr>
      </w:pPr>
      <w:r>
        <w:rPr>
          <w:rFonts w:hint="eastAsia" w:ascii="仿宋_GB2312" w:hAnsi="仿宋" w:eastAsia="仿宋_GB2312" w:cs="Arial"/>
          <w:b/>
          <w:sz w:val="32"/>
          <w:szCs w:val="32"/>
        </w:rPr>
        <w:t>第三部分 合伙制私募基金相关涉税疑难问题</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19.合伙企业“先分后税”疑难问题的五个案例探讨：</w:t>
      </w:r>
      <w:bookmarkStart w:id="1" w:name="_Toc32404335"/>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 xml:space="preserve">  a.合伙企业层面能够跨项目、跨年度混合抵扣吗</w:t>
      </w:r>
      <w:bookmarkEnd w:id="1"/>
      <w:bookmarkStart w:id="2" w:name="_Toc32404336"/>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 xml:space="preserve">  b.合伙企业“嵌套”情形下，合伙人如何缴税？</w:t>
      </w:r>
      <w:bookmarkEnd w:id="2"/>
      <w:bookmarkStart w:id="3" w:name="_Toc32404337"/>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 xml:space="preserve">  c.合伙企业“嵌套”情形下，合伙人如何确定纳税地点？</w:t>
      </w:r>
      <w:bookmarkEnd w:id="3"/>
      <w:bookmarkStart w:id="4" w:name="_Toc32404338"/>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 xml:space="preserve">  d.灵活的分配顺序和分配比例时：合伙企业合伙人如何缴税？</w:t>
      </w:r>
      <w:bookmarkEnd w:id="4"/>
      <w:bookmarkStart w:id="5" w:name="_Toc32404339"/>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 xml:space="preserve">  e.“合伙企业层面亏损+优先分配合伙人盈利”的特殊情况，如何纳税？</w:t>
      </w:r>
      <w:bookmarkEnd w:id="5"/>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20.私募基金运营环节：股权投资项目公司送股与转股时，涉及的所得税风险提示；</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21.合伙企业的公益捐赠支出，基于财税[2019]99号公告“先分后扣”思想的理解？以及基于财税[2020]9号符合条件疫情捐赠全额扣除的几点理解；</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22.关于基金的三个税收优惠政策讨论，合伙制基金能否参照证券投资基金享受税收优惠？项目公司股息红利分配，法人和自然人合伙人能享受税收优惠吗？近年来各地方处理口径参考及实务困境；</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23.合伙制私募基金对外投资时：存在业绩对赌情况下的财税处理疑难问题；</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24.合伙企业存在优先级和劣后级安排时，优先级获得保本浮动收益时（无论合伙企业层面是否盈利？GP等主体履行兜底、差额补足、回购等义务），从《合伙企业法》的法律角度怎么理解这种合同条款约定？财税处理的困境在哪里？</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25.股权代持涉税问题探讨：法律形式or商业实质？私募基金管理人项目跟投时的财税处理疑难问题；</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26.基于经济合同相对性的法律视角，探讨债权/债权收益权转让的可能涉税风险及双重征税问题；</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27.股票收益权转让的涉税风险及双重征税问题探讨；</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28.投资者转让合伙份额如何进行处理？税收筹划背后的风险提示；</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29.企业集团资金管理的增值税优惠政策：能否适用于合伙制私募基金？</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30.管理人支付的各种营运成本费用，如何扣除及涉税风险提示；</w:t>
      </w:r>
    </w:p>
    <w:p>
      <w:pPr>
        <w:spacing w:line="360" w:lineRule="auto"/>
        <w:ind w:firstLine="627" w:firstLineChars="196"/>
        <w:rPr>
          <w:rFonts w:ascii="仿宋_GB2312" w:hAnsi="仿宋" w:eastAsia="仿宋_GB2312" w:cs="Arial"/>
          <w:b/>
          <w:sz w:val="32"/>
          <w:szCs w:val="32"/>
        </w:rPr>
      </w:pPr>
      <w:r>
        <w:rPr>
          <w:rFonts w:hint="eastAsia" w:ascii="仿宋_GB2312" w:hAnsi="仿宋" w:eastAsia="仿宋_GB2312"/>
          <w:sz w:val="32"/>
          <w:szCs w:val="32"/>
        </w:rPr>
        <w:t>31.涉外基金享受税收协定待遇问题释疑—基于国家税务总局[2018]11号公告第五条的深度分析。</w:t>
      </w:r>
    </w:p>
    <w:p>
      <w:pPr>
        <w:spacing w:line="360" w:lineRule="auto"/>
        <w:ind w:firstLine="630" w:firstLineChars="196"/>
        <w:rPr>
          <w:rFonts w:ascii="仿宋_GB2312" w:hAnsi="仿宋" w:eastAsia="仿宋_GB2312" w:cs="Arial"/>
          <w:b/>
          <w:sz w:val="32"/>
          <w:szCs w:val="32"/>
        </w:rPr>
      </w:pPr>
      <w:r>
        <w:rPr>
          <w:rFonts w:hint="eastAsia" w:ascii="仿宋_GB2312" w:hAnsi="仿宋" w:eastAsia="仿宋_GB2312" w:cs="Arial"/>
          <w:b/>
          <w:sz w:val="32"/>
          <w:szCs w:val="32"/>
        </w:rPr>
        <w:t>第四部分 合伙制私募基金的会计处理问题</w:t>
      </w:r>
      <w:bookmarkStart w:id="6" w:name="_Toc32404371"/>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32.私募基金投资者层面的会计处理</w:t>
      </w:r>
      <w:bookmarkEnd w:id="6"/>
      <w:r>
        <w:rPr>
          <w:rFonts w:hint="eastAsia" w:ascii="仿宋_GB2312" w:hAnsi="仿宋" w:eastAsia="仿宋_GB2312"/>
          <w:sz w:val="32"/>
          <w:szCs w:val="32"/>
        </w:rPr>
        <w:t>；</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33.合伙制私募投资基金层面：会计处理探讨；</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34.私募投资基金层面：对外项目投资的会计处理建议—基于2017年最新金融工具准则的几点认识；</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35.私募投资基金层面：如何有效解决会计和税法差异？</w:t>
      </w:r>
      <w:bookmarkStart w:id="7" w:name="_Toc32404388"/>
    </w:p>
    <w:p>
      <w:pPr>
        <w:spacing w:line="360" w:lineRule="auto"/>
        <w:ind w:firstLine="627" w:firstLineChars="196"/>
        <w:rPr>
          <w:rFonts w:ascii="仿宋_GB2312" w:hAnsi="仿宋" w:eastAsia="仿宋_GB2312" w:cs="Arial"/>
          <w:b/>
          <w:sz w:val="32"/>
          <w:szCs w:val="32"/>
        </w:rPr>
      </w:pPr>
      <w:r>
        <w:rPr>
          <w:rFonts w:hint="eastAsia" w:ascii="仿宋_GB2312" w:hAnsi="仿宋" w:eastAsia="仿宋_GB2312"/>
          <w:sz w:val="32"/>
          <w:szCs w:val="32"/>
        </w:rPr>
        <w:t>36.基金管理人收取管理费时：如何会计处理？</w:t>
      </w:r>
      <w:bookmarkEnd w:id="7"/>
    </w:p>
    <w:p>
      <w:pPr>
        <w:spacing w:line="360" w:lineRule="auto"/>
        <w:ind w:firstLine="630" w:firstLineChars="196"/>
        <w:rPr>
          <w:rFonts w:ascii="仿宋_GB2312" w:hAnsi="仿宋" w:eastAsia="仿宋_GB2312" w:cs="Arial"/>
          <w:b/>
          <w:sz w:val="32"/>
          <w:szCs w:val="32"/>
        </w:rPr>
      </w:pPr>
      <w:r>
        <w:rPr>
          <w:rFonts w:hint="eastAsia" w:ascii="仿宋_GB2312" w:hAnsi="仿宋" w:eastAsia="仿宋_GB2312" w:cs="Arial"/>
          <w:b/>
          <w:sz w:val="32"/>
          <w:szCs w:val="32"/>
        </w:rPr>
        <w:t>第五部分 相关前沿热点问题探讨</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37.契约型私募基金等各类资管产品的涉税处理问题；</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38.明股实债创新模式：权益性并表基金ABS交易架构涉及涉税风险；</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39.基础设施公募基金REITs试点[即：《关于推进基础设施领域不动产投资信托基金(REITs)试点相关工作的通知》(证监发〔2020〕40号）]及相关财税前沿问题探讨；</w:t>
      </w:r>
    </w:p>
    <w:p>
      <w:pPr>
        <w:spacing w:line="360" w:lineRule="auto"/>
        <w:ind w:firstLine="627" w:firstLineChars="196"/>
        <w:rPr>
          <w:rFonts w:ascii="仿宋_GB2312" w:hAnsi="仿宋" w:eastAsia="仿宋_GB2312" w:cs="Arial"/>
          <w:b/>
          <w:sz w:val="32"/>
          <w:szCs w:val="32"/>
        </w:rPr>
      </w:pPr>
      <w:r>
        <w:rPr>
          <w:rFonts w:hint="eastAsia" w:ascii="仿宋_GB2312" w:hAnsi="仿宋" w:eastAsia="仿宋_GB2312"/>
          <w:sz w:val="32"/>
          <w:szCs w:val="32"/>
        </w:rPr>
        <w:t>40.2020年4月，公募基金投资新三板股票指引及相关涉税问题分析。</w:t>
      </w:r>
    </w:p>
    <w:p>
      <w:pPr>
        <w:spacing w:line="360" w:lineRule="auto"/>
        <w:ind w:firstLine="630" w:firstLineChars="196"/>
        <w:rPr>
          <w:rFonts w:ascii="仿宋_GB2312" w:hAnsi="Arial" w:eastAsia="仿宋_GB2312" w:cs="Arial"/>
          <w:b/>
          <w:sz w:val="30"/>
          <w:szCs w:val="30"/>
        </w:rPr>
      </w:pPr>
      <w:r>
        <w:rPr>
          <w:rFonts w:hint="eastAsia" w:ascii="仿宋_GB2312" w:hAnsi="仿宋" w:eastAsia="仿宋_GB2312" w:cs="Arial"/>
          <w:b/>
          <w:sz w:val="32"/>
          <w:szCs w:val="32"/>
        </w:rPr>
        <w:t>第六部分 答疑交流（有问题请提前打印好或书写工整）</w:t>
      </w:r>
      <w:bookmarkStart w:id="8" w:name="_GoBack"/>
      <w:bookmarkEnd w:id="8"/>
    </w:p>
    <w:p>
      <w:pPr>
        <w:spacing w:line="360" w:lineRule="auto"/>
        <w:ind w:left="559" w:leftChars="266" w:firstLine="560" w:firstLineChars="200"/>
        <w:rPr>
          <w:rFonts w:ascii="仿宋_GB2312" w:hAnsi="宋体" w:eastAsia="仿宋_GB2312"/>
          <w:sz w:val="28"/>
          <w:szCs w:val="28"/>
        </w:rPr>
      </w:pPr>
    </w:p>
    <w:sectPr>
      <w:footerReference r:id="rId6" w:type="first"/>
      <w:headerReference r:id="rId3" w:type="default"/>
      <w:footerReference r:id="rId4" w:type="default"/>
      <w:footerReference r:id="rId5" w:type="even"/>
      <w:pgSz w:w="12242" w:h="15842"/>
      <w:pgMar w:top="1440" w:right="1800" w:bottom="1440" w:left="1800" w:header="851" w:footer="85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6016"/>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6017"/>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A3"/>
    <w:rsid w:val="00184033"/>
    <w:rsid w:val="00222AE2"/>
    <w:rsid w:val="002B60DA"/>
    <w:rsid w:val="002C4A37"/>
    <w:rsid w:val="002D71DB"/>
    <w:rsid w:val="00301EE9"/>
    <w:rsid w:val="003337BB"/>
    <w:rsid w:val="00496D04"/>
    <w:rsid w:val="00535B2A"/>
    <w:rsid w:val="005E193C"/>
    <w:rsid w:val="00631958"/>
    <w:rsid w:val="00636021"/>
    <w:rsid w:val="00670202"/>
    <w:rsid w:val="00741C89"/>
    <w:rsid w:val="00773680"/>
    <w:rsid w:val="007B6476"/>
    <w:rsid w:val="008A11CF"/>
    <w:rsid w:val="008A38FC"/>
    <w:rsid w:val="008E0AA3"/>
    <w:rsid w:val="00A413BC"/>
    <w:rsid w:val="00AF0995"/>
    <w:rsid w:val="00BF6CBE"/>
    <w:rsid w:val="00CA6BB3"/>
    <w:rsid w:val="00D00A51"/>
    <w:rsid w:val="00D25F8B"/>
    <w:rsid w:val="00D47D82"/>
    <w:rsid w:val="00DE502D"/>
    <w:rsid w:val="00DE6F1A"/>
    <w:rsid w:val="00E70608"/>
    <w:rsid w:val="00E768A6"/>
    <w:rsid w:val="00EC29F7"/>
    <w:rsid w:val="00EF2653"/>
    <w:rsid w:val="00EF3BED"/>
    <w:rsid w:val="00F075AE"/>
    <w:rsid w:val="00F52443"/>
    <w:rsid w:val="00FD1DEA"/>
    <w:rsid w:val="00FE2766"/>
    <w:rsid w:val="00FF1385"/>
    <w:rsid w:val="00FF66E9"/>
    <w:rsid w:val="05C568CD"/>
    <w:rsid w:val="17B60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眉 Char"/>
    <w:basedOn w:val="5"/>
    <w:link w:val="4"/>
    <w:uiPriority w:val="0"/>
    <w:rPr>
      <w:rFonts w:ascii="Times New Roman" w:hAnsi="Times New Roman" w:eastAsia="宋体" w:cs="Times New Roman"/>
      <w:sz w:val="18"/>
      <w:szCs w:val="18"/>
    </w:rPr>
  </w:style>
  <w:style w:type="character" w:customStyle="1" w:styleId="9">
    <w:name w:val="页脚 Char"/>
    <w:basedOn w:val="5"/>
    <w:link w:val="3"/>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rPr>
      <w:rFonts w:ascii="Calibri" w:hAnsi="Calibri"/>
      <w:szCs w:val="22"/>
    </w:rPr>
  </w:style>
  <w:style w:type="character" w:customStyle="1" w:styleId="11">
    <w:name w:val="日期 Char"/>
    <w:basedOn w:val="5"/>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586</Words>
  <Characters>3344</Characters>
  <Lines>27</Lines>
  <Paragraphs>7</Paragraphs>
  <ScaleCrop>false</ScaleCrop>
  <LinksUpToDate>false</LinksUpToDate>
  <CharactersWithSpaces>3923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2020-07-06T07:50:00Z</dcterms:created>
  <dc:creator>Administrator</dc:creator>
  <cp:lastModifiedBy>lenovo</cp:lastModifiedBy>
  <cp:lastPrinted>2020-07-06T08:30:00Z</cp:lastPrinted>
  <dcterms:modified xsi:type="dcterms:W3CDTF">2020-07-07T08:21:54Z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