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仿宋" w:eastAsia="仿宋_GB2312" w:cs="Arial"/>
          <w:b/>
          <w:sz w:val="32"/>
          <w:szCs w:val="32"/>
        </w:rPr>
      </w:pPr>
      <w:r>
        <w:rPr>
          <w:rFonts w:hint="eastAsia" w:ascii="仿宋_GB2312" w:hAnsi="仿宋" w:eastAsia="仿宋_GB2312" w:cs="Arial"/>
          <w:b/>
          <w:sz w:val="32"/>
          <w:szCs w:val="32"/>
        </w:rPr>
        <w:t>附件1：</w:t>
      </w:r>
    </w:p>
    <w:p>
      <w:pPr>
        <w:spacing w:line="360" w:lineRule="auto"/>
        <w:ind w:firstLine="643" w:firstLineChars="200"/>
        <w:jc w:val="center"/>
        <w:rPr>
          <w:rFonts w:ascii="仿宋_GB2312" w:hAnsi="仿宋" w:eastAsia="仿宋_GB2312" w:cs="Arial"/>
          <w:b/>
          <w:sz w:val="32"/>
          <w:szCs w:val="32"/>
        </w:rPr>
      </w:pPr>
      <w:r>
        <w:rPr>
          <w:rFonts w:hint="eastAsia" w:ascii="仿宋_GB2312" w:hAnsi="仿宋" w:eastAsia="仿宋_GB2312" w:cs="Arial"/>
          <w:b/>
          <w:sz w:val="32"/>
          <w:szCs w:val="32"/>
        </w:rPr>
        <w:t>培训内容:</w:t>
      </w:r>
    </w:p>
    <w:p>
      <w:pPr>
        <w:spacing w:line="360" w:lineRule="auto"/>
        <w:ind w:firstLine="630" w:firstLineChars="196"/>
        <w:rPr>
          <w:rFonts w:ascii="仿宋_GB2312" w:hAnsi="宋体" w:eastAsia="仿宋_GB2312"/>
          <w:b/>
          <w:sz w:val="32"/>
          <w:szCs w:val="32"/>
        </w:rPr>
      </w:pPr>
      <w:r>
        <w:rPr>
          <w:rFonts w:hint="eastAsia" w:ascii="仿宋_GB2312" w:hAnsi="宋体" w:eastAsia="仿宋_GB2312"/>
          <w:b/>
          <w:sz w:val="32"/>
          <w:szCs w:val="32"/>
        </w:rPr>
        <w:t>（1）中国私募基金的兴起和发展</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1.私募业务及行业法律法规发展</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2.私募行业发展与调整并行</w:t>
      </w:r>
    </w:p>
    <w:p>
      <w:pPr>
        <w:spacing w:line="360" w:lineRule="auto"/>
        <w:ind w:firstLine="630" w:firstLineChars="196"/>
        <w:rPr>
          <w:rFonts w:ascii="仿宋_GB2312" w:hAnsi="宋体" w:eastAsia="仿宋_GB2312"/>
          <w:b/>
          <w:sz w:val="32"/>
          <w:szCs w:val="32"/>
        </w:rPr>
      </w:pPr>
      <w:r>
        <w:rPr>
          <w:rFonts w:hint="eastAsia" w:ascii="仿宋_GB2312" w:hAnsi="宋体" w:eastAsia="仿宋_GB2312"/>
          <w:b/>
          <w:sz w:val="32"/>
          <w:szCs w:val="32"/>
        </w:rPr>
        <w:t>（2）中国资管行业与私募基金</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1.大资管行业的发展与调整</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2.从八条底线到资管新规</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3.资管新规对私募基金的影响</w:t>
      </w:r>
    </w:p>
    <w:p>
      <w:pPr>
        <w:spacing w:line="360" w:lineRule="auto"/>
        <w:ind w:firstLine="630" w:firstLineChars="196"/>
        <w:rPr>
          <w:rFonts w:ascii="仿宋_GB2312" w:hAnsi="宋体" w:eastAsia="仿宋_GB2312"/>
          <w:b/>
          <w:sz w:val="32"/>
          <w:szCs w:val="32"/>
        </w:rPr>
      </w:pPr>
      <w:r>
        <w:rPr>
          <w:rFonts w:hint="eastAsia" w:ascii="仿宋_GB2312" w:hAnsi="宋体" w:eastAsia="仿宋_GB2312"/>
          <w:b/>
          <w:sz w:val="32"/>
          <w:szCs w:val="32"/>
        </w:rPr>
        <w:t>（3）私募基金行业的规范体系</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1.规范的效力及层级</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2.基金业协会的自律管理</w:t>
      </w:r>
    </w:p>
    <w:p>
      <w:pPr>
        <w:spacing w:line="360" w:lineRule="auto"/>
        <w:ind w:firstLine="630" w:firstLineChars="196"/>
        <w:rPr>
          <w:rFonts w:ascii="仿宋_GB2312" w:hAnsi="宋体" w:eastAsia="仿宋_GB2312"/>
          <w:b/>
          <w:sz w:val="32"/>
          <w:szCs w:val="32"/>
        </w:rPr>
      </w:pPr>
      <w:r>
        <w:rPr>
          <w:rFonts w:hint="eastAsia" w:ascii="仿宋_GB2312" w:hAnsi="宋体" w:eastAsia="仿宋_GB2312"/>
          <w:b/>
          <w:sz w:val="32"/>
          <w:szCs w:val="32"/>
        </w:rPr>
        <w:t>（4）私募基金托管</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1.国外基金托管的起源</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2.我国基金托管的发展历程</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3.基金托管的主要内容、责任边界</w:t>
      </w:r>
    </w:p>
    <w:p>
      <w:pPr>
        <w:spacing w:line="360" w:lineRule="auto"/>
        <w:ind w:firstLine="630" w:firstLineChars="196"/>
        <w:rPr>
          <w:rFonts w:ascii="仿宋_GB2312" w:hAnsi="宋体" w:eastAsia="仿宋_GB2312"/>
          <w:sz w:val="32"/>
          <w:szCs w:val="32"/>
        </w:rPr>
      </w:pPr>
      <w:r>
        <w:rPr>
          <w:rFonts w:hint="eastAsia" w:ascii="仿宋_GB2312" w:hAnsi="宋体" w:eastAsia="仿宋_GB2312"/>
          <w:b/>
          <w:sz w:val="32"/>
          <w:szCs w:val="32"/>
        </w:rPr>
        <w:t>（5）私募基金服务</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1.基金服务对私募管理人的作用或意义</w:t>
      </w:r>
    </w:p>
    <w:p>
      <w:pPr>
        <w:spacing w:line="360" w:lineRule="auto"/>
        <w:ind w:firstLine="630" w:firstLineChars="196"/>
        <w:rPr>
          <w:rFonts w:ascii="仿宋_GB2312" w:hAnsi="宋体" w:eastAsia="仿宋_GB2312"/>
          <w:b/>
          <w:sz w:val="32"/>
          <w:szCs w:val="32"/>
        </w:rPr>
      </w:pPr>
      <w:r>
        <w:rPr>
          <w:rFonts w:hint="eastAsia" w:ascii="仿宋_GB2312" w:hAnsi="宋体" w:eastAsia="仿宋_GB2312"/>
          <w:b/>
          <w:sz w:val="32"/>
          <w:szCs w:val="32"/>
        </w:rPr>
        <w:t>（6）私募基金合规运营的要点</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1.基金运营全流程介绍</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2.私募运营中的重要风控把握</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3.私募基金的自查与监管检查</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4.私募违规处罚案例分析</w:t>
      </w:r>
    </w:p>
    <w:p>
      <w:pPr>
        <w:spacing w:line="360" w:lineRule="auto"/>
        <w:ind w:firstLine="630" w:firstLineChars="196"/>
        <w:rPr>
          <w:rFonts w:ascii="仿宋_GB2312" w:hAnsi="仿宋" w:eastAsia="仿宋_GB2312"/>
          <w:b/>
          <w:sz w:val="32"/>
          <w:szCs w:val="32"/>
        </w:rPr>
      </w:pPr>
      <w:r>
        <w:rPr>
          <w:rFonts w:hint="eastAsia" w:ascii="仿宋_GB2312" w:hAnsi="宋体" w:eastAsia="仿宋_GB2312"/>
          <w:b/>
          <w:sz w:val="32"/>
          <w:szCs w:val="32"/>
        </w:rPr>
        <w:t>（7）</w:t>
      </w:r>
      <w:r>
        <w:rPr>
          <w:rFonts w:hint="eastAsia" w:ascii="仿宋_GB2312" w:hAnsi="仿宋" w:eastAsia="仿宋_GB2312"/>
          <w:b/>
          <w:sz w:val="32"/>
          <w:szCs w:val="32"/>
        </w:rPr>
        <w:t>近期私募基金热点问题分享</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1.私募基金的产品类型</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2.私募基金CRS报送管理</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3.私募基金业绩报酬计提</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4.私募基金的清盘流程及风险</w:t>
      </w:r>
    </w:p>
    <w:p>
      <w:pPr>
        <w:spacing w:line="360" w:lineRule="auto"/>
        <w:ind w:firstLine="630" w:firstLineChars="196"/>
        <w:rPr>
          <w:rFonts w:ascii="仿宋_GB2312" w:hAnsi="仿宋" w:eastAsia="仿宋_GB2312"/>
          <w:b/>
          <w:sz w:val="32"/>
          <w:szCs w:val="32"/>
        </w:rPr>
      </w:pPr>
      <w:r>
        <w:rPr>
          <w:rFonts w:hint="eastAsia" w:ascii="仿宋_GB2312" w:hAnsi="宋体" w:eastAsia="仿宋_GB2312"/>
          <w:b/>
          <w:sz w:val="32"/>
          <w:szCs w:val="32"/>
        </w:rPr>
        <w:t>（8）</w:t>
      </w:r>
      <w:r>
        <w:rPr>
          <w:rFonts w:hint="eastAsia" w:ascii="仿宋_GB2312" w:hAnsi="仿宋" w:eastAsia="仿宋_GB2312"/>
          <w:b/>
          <w:sz w:val="32"/>
          <w:szCs w:val="32"/>
        </w:rPr>
        <w:t>九民纪要下的核心问题</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1.保底安排的效力</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2.投资者适当性义务</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3.私募领域的适用探讨</w:t>
      </w:r>
    </w:p>
    <w:p>
      <w:pPr>
        <w:spacing w:line="360" w:lineRule="auto"/>
        <w:ind w:firstLine="630" w:firstLineChars="196"/>
        <w:rPr>
          <w:rFonts w:ascii="仿宋_GB2312" w:hAnsi="仿宋" w:eastAsia="仿宋_GB2312"/>
          <w:b/>
          <w:sz w:val="32"/>
          <w:szCs w:val="32"/>
        </w:rPr>
      </w:pPr>
      <w:r>
        <w:rPr>
          <w:rFonts w:hint="eastAsia" w:ascii="仿宋_GB2312" w:hAnsi="宋体" w:eastAsia="仿宋_GB2312"/>
          <w:b/>
          <w:sz w:val="32"/>
          <w:szCs w:val="32"/>
        </w:rPr>
        <w:t>（9）</w:t>
      </w:r>
      <w:r>
        <w:rPr>
          <w:rFonts w:hint="eastAsia" w:ascii="仿宋_GB2312" w:hAnsi="仿宋" w:eastAsia="仿宋_GB2312"/>
          <w:b/>
          <w:sz w:val="32"/>
          <w:szCs w:val="32"/>
        </w:rPr>
        <w:t>管理人/托管人的责任界限</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1.管理人责任的三个维度（行政、民事、刑事）</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2.托管人的责任范围（违约或侵权、连带或单独责任）</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3.损失界定与因果认定</w:t>
      </w:r>
    </w:p>
    <w:p>
      <w:pPr>
        <w:spacing w:line="360" w:lineRule="auto"/>
        <w:ind w:firstLine="630" w:firstLineChars="196"/>
        <w:rPr>
          <w:rFonts w:ascii="仿宋_GB2312" w:hAnsi="仿宋" w:eastAsia="仿宋_GB2312"/>
          <w:b/>
          <w:sz w:val="32"/>
          <w:szCs w:val="32"/>
        </w:rPr>
      </w:pPr>
      <w:r>
        <w:rPr>
          <w:rFonts w:hint="eastAsia" w:ascii="仿宋_GB2312" w:hAnsi="宋体" w:eastAsia="仿宋_GB2312"/>
          <w:b/>
          <w:sz w:val="32"/>
          <w:szCs w:val="32"/>
        </w:rPr>
        <w:t>（10）</w:t>
      </w:r>
      <w:r>
        <w:rPr>
          <w:rFonts w:hint="eastAsia" w:ascii="仿宋_GB2312" w:hAnsi="仿宋" w:eastAsia="仿宋_GB2312"/>
          <w:b/>
          <w:sz w:val="32"/>
          <w:szCs w:val="32"/>
        </w:rPr>
        <w:t>管理人失职下的操作</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1.代表诉讼/派生诉讼</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2.GP的除名操作</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3.托管人的配合义务探讨</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4.契约型基金的潜在风险</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5.嵌套投资的潜在风险</w:t>
      </w:r>
    </w:p>
    <w:p>
      <w:pPr>
        <w:spacing w:line="360" w:lineRule="auto"/>
        <w:ind w:firstLine="630" w:firstLineChars="196"/>
        <w:rPr>
          <w:rFonts w:ascii="仿宋_GB2312" w:hAnsi="仿宋" w:eastAsia="仿宋_GB2312"/>
          <w:b/>
          <w:sz w:val="32"/>
          <w:szCs w:val="32"/>
        </w:rPr>
      </w:pPr>
      <w:r>
        <w:rPr>
          <w:rFonts w:hint="eastAsia" w:ascii="仿宋_GB2312" w:hAnsi="宋体" w:eastAsia="仿宋_GB2312"/>
          <w:b/>
          <w:sz w:val="32"/>
          <w:szCs w:val="32"/>
        </w:rPr>
        <w:t>（11）</w:t>
      </w:r>
      <w:r>
        <w:rPr>
          <w:rFonts w:hint="eastAsia" w:ascii="仿宋_GB2312" w:hAnsi="仿宋" w:eastAsia="仿宋_GB2312"/>
          <w:b/>
          <w:sz w:val="32"/>
          <w:szCs w:val="32"/>
        </w:rPr>
        <w:t>基金清退</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1.清算（自主清算、强制清算）</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2.以合同解除/撤销变相退出</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3.以合同无效变相退出</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4.潜在限制（契约型基金、）</w:t>
      </w:r>
    </w:p>
    <w:p>
      <w:pPr>
        <w:spacing w:line="360" w:lineRule="auto"/>
        <w:ind w:firstLine="630" w:firstLineChars="196"/>
        <w:rPr>
          <w:rFonts w:ascii="仿宋_GB2312" w:hAnsi="仿宋" w:eastAsia="仿宋_GB2312"/>
          <w:b/>
          <w:sz w:val="32"/>
          <w:szCs w:val="32"/>
        </w:rPr>
      </w:pPr>
      <w:r>
        <w:rPr>
          <w:rFonts w:hint="eastAsia" w:ascii="仿宋_GB2312" w:hAnsi="宋体" w:eastAsia="仿宋_GB2312"/>
          <w:b/>
          <w:sz w:val="32"/>
          <w:szCs w:val="32"/>
        </w:rPr>
        <w:t>（12）</w:t>
      </w:r>
      <w:r>
        <w:rPr>
          <w:rFonts w:hint="eastAsia" w:ascii="仿宋_GB2312" w:hAnsi="仿宋" w:eastAsia="仿宋_GB2312"/>
          <w:b/>
          <w:sz w:val="32"/>
          <w:szCs w:val="32"/>
        </w:rPr>
        <w:t>资管新规落地后私募基金的法律适用问题</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1.私募基金的监管历程及目前的监管体系</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2.资管行业的上位法探讨</w:t>
      </w:r>
    </w:p>
    <w:p>
      <w:pPr>
        <w:spacing w:line="360" w:lineRule="auto"/>
        <w:ind w:firstLine="630" w:firstLineChars="196"/>
        <w:rPr>
          <w:rFonts w:ascii="仿宋_GB2312" w:hAnsi="仿宋" w:eastAsia="仿宋_GB2312"/>
          <w:b/>
          <w:sz w:val="32"/>
          <w:szCs w:val="32"/>
        </w:rPr>
      </w:pPr>
      <w:r>
        <w:rPr>
          <w:rFonts w:hint="eastAsia" w:ascii="仿宋_GB2312" w:hAnsi="宋体" w:eastAsia="仿宋_GB2312"/>
          <w:b/>
          <w:sz w:val="32"/>
          <w:szCs w:val="32"/>
        </w:rPr>
        <w:t>（13）</w:t>
      </w:r>
      <w:r>
        <w:rPr>
          <w:rFonts w:hint="eastAsia" w:ascii="仿宋_GB2312" w:hAnsi="仿宋" w:eastAsia="仿宋_GB2312"/>
          <w:b/>
          <w:sz w:val="32"/>
          <w:szCs w:val="32"/>
        </w:rPr>
        <w:t>资管新规对私募基金的影响及《私募投资基金备案须知》相应落实情况</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1.机构监管还是功能监管/行为监管：对私募基金管理人及基金的适用性问题</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2.对私募基金管理人及基金分类的影响</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3.对私募基金非标债权投资的影响</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4.对私募基金结构化分级、杠杆比例的影响</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5.对套嵌式私募基金的影响</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6.对私募基金合格投资者的影响</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7.私募基金管理人是否要强制提取风险准备金</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8.对私募基金信息披露与备案的影响</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9.颁布实施后，对私募基金存量业务的影响</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10.私募基金“非标转标”的必要性及可能性展望</w:t>
      </w:r>
    </w:p>
    <w:p>
      <w:pPr>
        <w:spacing w:line="360" w:lineRule="auto"/>
        <w:ind w:firstLine="630" w:firstLineChars="196"/>
        <w:rPr>
          <w:rFonts w:ascii="仿宋_GB2312" w:hAnsi="仿宋" w:eastAsia="仿宋_GB2312"/>
          <w:b/>
          <w:sz w:val="32"/>
          <w:szCs w:val="32"/>
        </w:rPr>
      </w:pPr>
      <w:r>
        <w:rPr>
          <w:rFonts w:hint="eastAsia" w:ascii="仿宋_GB2312" w:hAnsi="宋体" w:eastAsia="仿宋_GB2312"/>
          <w:b/>
          <w:sz w:val="32"/>
          <w:szCs w:val="32"/>
        </w:rPr>
        <w:t>（14）</w:t>
      </w:r>
      <w:r>
        <w:rPr>
          <w:rFonts w:hint="eastAsia" w:ascii="仿宋_GB2312" w:hAnsi="仿宋" w:eastAsia="仿宋_GB2312"/>
          <w:b/>
          <w:sz w:val="32"/>
          <w:szCs w:val="32"/>
        </w:rPr>
        <w:t>资管新规“除外情形”在私募基金产品设计中的运用</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1.财产权信托嵌套私募基金</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2.创业投资基金嵌套其他私募资管产品</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3.政府出资产业基金嵌套其他私募资管产品</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4.ABS产品与私募基金的对接</w:t>
      </w:r>
    </w:p>
    <w:p>
      <w:pPr>
        <w:spacing w:line="360" w:lineRule="auto"/>
        <w:ind w:firstLine="630" w:firstLineChars="196"/>
        <w:rPr>
          <w:rFonts w:ascii="仿宋_GB2312" w:hAnsi="仿宋" w:eastAsia="仿宋_GB2312"/>
          <w:b/>
          <w:sz w:val="32"/>
          <w:szCs w:val="32"/>
        </w:rPr>
      </w:pPr>
      <w:r>
        <w:rPr>
          <w:rFonts w:hint="eastAsia" w:ascii="仿宋_GB2312" w:hAnsi="宋体" w:eastAsia="仿宋_GB2312"/>
          <w:b/>
          <w:sz w:val="32"/>
          <w:szCs w:val="32"/>
        </w:rPr>
        <w:t>（15）</w:t>
      </w:r>
      <w:r>
        <w:rPr>
          <w:rFonts w:hint="eastAsia" w:ascii="仿宋_GB2312" w:hAnsi="仿宋" w:eastAsia="仿宋_GB2312"/>
          <w:b/>
          <w:sz w:val="32"/>
          <w:szCs w:val="32"/>
        </w:rPr>
        <w:t>私募资管产品传统交易结构案例解析及资管新规对其的冲击及改造</w:t>
      </w:r>
    </w:p>
    <w:p>
      <w:pPr>
        <w:spacing w:line="360" w:lineRule="auto"/>
        <w:ind w:firstLine="630" w:firstLineChars="196"/>
        <w:rPr>
          <w:rFonts w:ascii="仿宋_GB2312" w:hAnsi="仿宋" w:eastAsia="仿宋_GB2312"/>
          <w:b/>
          <w:sz w:val="32"/>
          <w:szCs w:val="32"/>
        </w:rPr>
      </w:pPr>
      <w:r>
        <w:rPr>
          <w:rFonts w:hint="eastAsia" w:ascii="仿宋_GB2312" w:hAnsi="仿宋" w:eastAsia="仿宋_GB2312"/>
          <w:b/>
          <w:sz w:val="32"/>
          <w:szCs w:val="32"/>
        </w:rPr>
        <w:t>案例一：资管产品套嵌产业并购基金</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1.券商PE子公司对外投资限制及整改现状；</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2.QFLP基金的设立及运作要点；</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3.保险资金间接股权投资合规要点；</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4.银行理财资金投资产业基金合规要点；</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5.产业基金的分级设计及杠杆比例；</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6.差额补足及远期回购的合规及效力分析；</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7.多层套嵌问题；</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8.基金的“股+债”投资方式限制及前景；</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9.新规视角下本项目涉及的资管产品分类;</w:t>
      </w:r>
    </w:p>
    <w:p>
      <w:pPr>
        <w:spacing w:line="360" w:lineRule="auto"/>
        <w:ind w:firstLine="630" w:firstLineChars="196"/>
        <w:rPr>
          <w:rFonts w:ascii="仿宋_GB2312" w:hAnsi="仿宋" w:eastAsia="仿宋_GB2312"/>
          <w:b/>
          <w:sz w:val="32"/>
          <w:szCs w:val="32"/>
        </w:rPr>
      </w:pPr>
      <w:r>
        <w:rPr>
          <w:rFonts w:hint="eastAsia" w:ascii="仿宋_GB2312" w:hAnsi="仿宋" w:eastAsia="仿宋_GB2312"/>
          <w:b/>
          <w:sz w:val="32"/>
          <w:szCs w:val="32"/>
        </w:rPr>
        <w:t>案例二：保险资金参与政府出资产业基金</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1.国有企业担任GP问题</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2.保险资金间接股权投资对基金管理人的要求</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3.FOF结构下子基金管理人资质的法律适用问题</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4.保险资金对所投产业的要求</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5.保险资金所投项目与基金管理人之间的关联关系审查</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6.对优先级进行差额补足以及劣后级先承担亏损等交易安排的合规性分析</w:t>
      </w:r>
    </w:p>
    <w:p>
      <w:pPr>
        <w:spacing w:line="360" w:lineRule="auto"/>
        <w:ind w:firstLine="630" w:firstLineChars="196"/>
        <w:rPr>
          <w:rFonts w:ascii="仿宋_GB2312" w:hAnsi="宋体" w:eastAsia="仿宋_GB2312"/>
          <w:sz w:val="32"/>
          <w:szCs w:val="32"/>
        </w:rPr>
      </w:pPr>
      <w:r>
        <w:rPr>
          <w:rFonts w:hint="eastAsia" w:ascii="仿宋_GB2312" w:hAnsi="仿宋" w:eastAsia="仿宋_GB2312"/>
          <w:b/>
          <w:sz w:val="32"/>
          <w:szCs w:val="32"/>
        </w:rPr>
        <w:t>案例三：热点城市住宅房地产基金</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1.契约型基金的应用及局限</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2.为实现资金方的现金流管理，能否在基金合同里约定收益预分配以及分配 部分或全部投资本金？</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3.有限合伙能否作为拿地及开发房地产的主体？</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4.本项目中合伙企业是否属于基金并应予备案？</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5.SPV股+债的投资方式是否违反4号文？</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6.股权投资基金投资设立的SPV能否以股+债的方式投资项目公司？</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7.SPV是否需要房地产开房资质？</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8.预分红、强制分红机制的运用</w:t>
      </w:r>
    </w:p>
    <w:p>
      <w:pPr>
        <w:spacing w:line="360" w:lineRule="auto"/>
        <w:ind w:firstLine="630" w:firstLineChars="196"/>
        <w:rPr>
          <w:rFonts w:ascii="仿宋_GB2312" w:hAnsi="仿宋" w:eastAsia="仿宋_GB2312"/>
          <w:b/>
          <w:sz w:val="32"/>
          <w:szCs w:val="32"/>
        </w:rPr>
      </w:pPr>
      <w:r>
        <w:rPr>
          <w:rFonts w:hint="eastAsia" w:ascii="仿宋_GB2312" w:hAnsi="仿宋" w:eastAsia="仿宋_GB2312"/>
          <w:b/>
          <w:sz w:val="32"/>
          <w:szCs w:val="32"/>
        </w:rPr>
        <w:t>案例四：另类房地产信托/基金</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1.混合型信托的法律适用问题</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2.财产权信托与资金信托杠杆比例的合规性</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3.17家有限合伙型SPV是否属于基金且应予备案</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4.“收益互换“的交易安排及法律性质</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5.有限合伙份额作为信托财产的交付问题</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6.国有性质有限合伙份额的流转问题</w:t>
      </w:r>
    </w:p>
    <w:p>
      <w:pPr>
        <w:spacing w:line="360" w:lineRule="auto"/>
        <w:ind w:firstLine="630" w:firstLineChars="196"/>
        <w:rPr>
          <w:rFonts w:ascii="仿宋_GB2312" w:hAnsi="仿宋" w:eastAsia="仿宋_GB2312"/>
          <w:b/>
          <w:sz w:val="32"/>
          <w:szCs w:val="32"/>
        </w:rPr>
      </w:pPr>
      <w:r>
        <w:rPr>
          <w:rFonts w:hint="eastAsia" w:ascii="仿宋_GB2312" w:hAnsi="仿宋" w:eastAsia="仿宋_GB2312"/>
          <w:b/>
          <w:sz w:val="32"/>
          <w:szCs w:val="32"/>
        </w:rPr>
        <w:t>案例五：收益互换在私募资产管理业务中的运用</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1.收益互换合约签署时的法律状态</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2.收益互换结束时的法律状态</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3.三类股东投资拟IPO企业的限制</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4.契约型基金等非股权类投资基金作为股权项目投资者无法备案问题</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5.穿透披露问题</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6.股东贷款、收益互换影响X公司资产及负债</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7.税收问题</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8.关联交易问题</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9.X公司的或有负债问题</w:t>
      </w:r>
    </w:p>
    <w:p>
      <w:pPr>
        <w:spacing w:line="360" w:lineRule="auto"/>
        <w:ind w:firstLine="630" w:firstLineChars="196"/>
        <w:rPr>
          <w:rFonts w:ascii="仿宋_GB2312" w:hAnsi="仿宋" w:eastAsia="仿宋_GB2312"/>
          <w:b/>
          <w:sz w:val="32"/>
          <w:szCs w:val="32"/>
        </w:rPr>
      </w:pPr>
      <w:r>
        <w:rPr>
          <w:rFonts w:hint="eastAsia" w:ascii="仿宋_GB2312" w:hAnsi="宋体" w:eastAsia="仿宋_GB2312"/>
          <w:b/>
          <w:sz w:val="32"/>
          <w:szCs w:val="32"/>
        </w:rPr>
        <w:t>（16）</w:t>
      </w:r>
      <w:r>
        <w:rPr>
          <w:rFonts w:hint="eastAsia" w:ascii="仿宋_GB2312" w:hAnsi="仿宋" w:eastAsia="仿宋_GB2312"/>
          <w:b/>
          <w:sz w:val="32"/>
          <w:szCs w:val="32"/>
        </w:rPr>
        <w:t>资管新规下私募基金的非标债权投资</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1.非标债权的界定</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2.银监会、基金业协会及资管新规对私募基金非标债权投资的限制</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3.私募基金受让非借贷性质资产</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4.私募基金不良信贷资产投资</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5.私募基金的“股+债”投资</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 xml:space="preserve"> 6.私募基金的可转债投资</w:t>
      </w:r>
    </w:p>
    <w:p>
      <w:pPr>
        <w:spacing w:line="360" w:lineRule="auto"/>
        <w:ind w:firstLine="627" w:firstLineChars="196"/>
        <w:rPr>
          <w:rFonts w:ascii="宋体" w:hAnsi="宋体"/>
          <w:sz w:val="28"/>
          <w:szCs w:val="28"/>
        </w:rPr>
      </w:pPr>
      <w:r>
        <w:rPr>
          <w:rFonts w:hint="eastAsia" w:ascii="仿宋_GB2312" w:hAnsi="宋体" w:eastAsia="仿宋_GB2312"/>
          <w:sz w:val="32"/>
          <w:szCs w:val="32"/>
        </w:rPr>
        <w:t xml:space="preserve"> 7.私募基金的股东借款</w:t>
      </w:r>
      <w:bookmarkStart w:id="0" w:name="_GoBack"/>
      <w:bookmarkEnd w:id="0"/>
    </w:p>
    <w:sectPr>
      <w:footerReference r:id="rId6" w:type="first"/>
      <w:headerReference r:id="rId3" w:type="default"/>
      <w:footerReference r:id="rId4" w:type="default"/>
      <w:footerReference r:id="rId5" w:type="even"/>
      <w:pgSz w:w="12242" w:h="15842"/>
      <w:pgMar w:top="1440" w:right="1800" w:bottom="1440" w:left="1800" w:header="851" w:footer="85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6020"/>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6019"/>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A3"/>
    <w:rsid w:val="00222AE2"/>
    <w:rsid w:val="002B60DA"/>
    <w:rsid w:val="002C4A37"/>
    <w:rsid w:val="002D71DB"/>
    <w:rsid w:val="00301EE9"/>
    <w:rsid w:val="003337BB"/>
    <w:rsid w:val="0037714D"/>
    <w:rsid w:val="00394310"/>
    <w:rsid w:val="00496D04"/>
    <w:rsid w:val="004D4DFB"/>
    <w:rsid w:val="00535B2A"/>
    <w:rsid w:val="005C0D83"/>
    <w:rsid w:val="005E193C"/>
    <w:rsid w:val="00636021"/>
    <w:rsid w:val="00741C89"/>
    <w:rsid w:val="00773680"/>
    <w:rsid w:val="007B6476"/>
    <w:rsid w:val="00837E97"/>
    <w:rsid w:val="008A38FC"/>
    <w:rsid w:val="008E0AA3"/>
    <w:rsid w:val="009D1EE6"/>
    <w:rsid w:val="00A413BC"/>
    <w:rsid w:val="00AB179B"/>
    <w:rsid w:val="00B128FE"/>
    <w:rsid w:val="00BF6CBE"/>
    <w:rsid w:val="00CA1271"/>
    <w:rsid w:val="00CA6BB3"/>
    <w:rsid w:val="00CF17C7"/>
    <w:rsid w:val="00D22054"/>
    <w:rsid w:val="00D25F8B"/>
    <w:rsid w:val="00D47D82"/>
    <w:rsid w:val="00DE502D"/>
    <w:rsid w:val="00DE6F1A"/>
    <w:rsid w:val="00EC29F7"/>
    <w:rsid w:val="00EF2653"/>
    <w:rsid w:val="00F075AE"/>
    <w:rsid w:val="00FE2766"/>
    <w:rsid w:val="00FF1385"/>
    <w:rsid w:val="00FF25DC"/>
    <w:rsid w:val="3E6550B4"/>
    <w:rsid w:val="4FF03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9">
    <w:name w:val="页眉 Char"/>
    <w:basedOn w:val="5"/>
    <w:link w:val="4"/>
    <w:uiPriority w:val="0"/>
    <w:rPr>
      <w:rFonts w:ascii="Times New Roman" w:hAnsi="Times New Roman" w:eastAsia="宋体" w:cs="Times New Roman"/>
      <w:sz w:val="18"/>
      <w:szCs w:val="18"/>
    </w:rPr>
  </w:style>
  <w:style w:type="character" w:customStyle="1" w:styleId="10">
    <w:name w:val="页脚 Char"/>
    <w:basedOn w:val="5"/>
    <w:link w:val="3"/>
    <w:uiPriority w:val="99"/>
    <w:rPr>
      <w:rFonts w:ascii="Times New Roman" w:hAnsi="Times New Roman" w:eastAsia="宋体" w:cs="Times New Roman"/>
      <w:sz w:val="18"/>
      <w:szCs w:val="18"/>
    </w:rPr>
  </w:style>
  <w:style w:type="paragraph" w:customStyle="1" w:styleId="11">
    <w:name w:val="List Paragraph"/>
    <w:basedOn w:val="1"/>
    <w:qFormat/>
    <w:uiPriority w:val="34"/>
    <w:pPr>
      <w:ind w:firstLine="420" w:firstLineChars="200"/>
    </w:pPr>
    <w:rPr>
      <w:rFonts w:ascii="Calibri" w:hAnsi="Calibri"/>
      <w:szCs w:val="22"/>
    </w:rPr>
  </w:style>
  <w:style w:type="character" w:customStyle="1" w:styleId="12">
    <w:name w:val="日期 Char"/>
    <w:basedOn w:val="5"/>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576</Words>
  <Characters>3288</Characters>
  <Lines>27</Lines>
  <Paragraphs>7</Paragraphs>
  <ScaleCrop>false</ScaleCrop>
  <LinksUpToDate>false</LinksUpToDate>
  <CharactersWithSpaces>3857</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2020-07-06T08:02:00Z</dcterms:created>
  <dc:creator>Administrator</dc:creator>
  <cp:lastModifiedBy>lenovo</cp:lastModifiedBy>
  <cp:lastPrinted>2020-07-06T08:01:00Z</cp:lastPrinted>
  <dcterms:modified xsi:type="dcterms:W3CDTF">2020-07-07T08:17:28Z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