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《环保展台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设计制作指南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》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行业标准编制说明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一、工作简况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（一）行业发展现状。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近年来，我国会展业持续高速发展，年度展览面积已居于世界前列，成为名副其实的会展大国。但在会展业长期粗放式发展的大背景下，一次性木质结构展具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大量使用及会展现场施工不规范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造成的环境污染等问题已十分突出。为推动会展业转型升级，实现会展业绿色可持续发展，2015年3月29日，国务院印发《关于进一步促进展览业改革发展的若干意见》（国发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15号），倡导展览业低碳、环保、绿色理念，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快制修订和推广展馆管理、经营服务、节能环保、安全运营等标准，逐步形成面向市场、服务产业、主次分明、科学合理的展览业标准化框架体系。2015年3月1日颁布实施的行业标准《会展业节能降耗工作规范》（SB/T11090-2014）明确了会展产业链各环节关于推动节能降耗的工作要求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（二）制修订必要性。</w:t>
      </w:r>
    </w:p>
    <w:p>
      <w:pPr>
        <w:pStyle w:val="11"/>
        <w:spacing w:line="300" w:lineRule="auto"/>
        <w:rPr>
          <w:rFonts w:hint="default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展台设计制作是会展运营的重要组成部分，也是决定展台是否环保的基础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《环保展台设计制作指南》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提供工作指导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推广环保展台的应用奠定良好基础。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（三）任务来源。</w:t>
      </w:r>
    </w:p>
    <w:p>
      <w:pPr>
        <w:spacing w:line="30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展台设计制作指南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》制定计划由《商务部办公厅关于下达2016年流通行业标准项目计划的通知》（商办流通函〔2016〕828号）下达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批复序号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39。 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（四）主要参加单位和工作组成员。</w:t>
      </w:r>
    </w:p>
    <w:p>
      <w:pPr>
        <w:pStyle w:val="13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主要参加单位有商务部流通产业促进中心、北京华阳恒通国际会展服务有限公司、常州霍克展示系统股份有限公司、灵通展览系统股份有限公司、汇展供应链管理（北京）有限公司、江苏汇鸿国际集团会展股份有限公司。 </w:t>
      </w:r>
    </w:p>
    <w:p>
      <w:pPr>
        <w:spacing w:line="360" w:lineRule="auto"/>
        <w:ind w:firstLine="640" w:firstLineChars="200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工作组成员有张婷婷、高玲子、罗朝华、吕途、周景刚、孙晓球、黄彪、吴菲、田勇。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（五）主要工作过程。</w:t>
      </w:r>
    </w:p>
    <w:p>
      <w:pPr>
        <w:snapToGrid w:val="0"/>
        <w:spacing w:line="360" w:lineRule="auto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商务部流通产业促进中心申请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立项了《环保展台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设计制作指南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》行业标准。在广泛征求行业相关单位意见的基础上，邀请了北京华阳恒通国际会展服务有限公司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成立标准起草组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启动了此项工作。</w:t>
      </w:r>
    </w:p>
    <w:p>
      <w:pPr>
        <w:snapToGrid w:val="0"/>
        <w:spacing w:line="360" w:lineRule="auto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月，形成了行业标准的基本框架。内容包括：前言、范围、规范性引用文件、术语、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原则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napToGrid w:val="0"/>
        <w:spacing w:line="360" w:lineRule="auto"/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月，完成行业标准的初稿，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通过定向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走访调研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征求相关单位意见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。召开标准研讨会，邀请来自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展具生产企业、会展场馆等多家单位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的专家对标准初稿进行研讨。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华文中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经对多渠道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反馈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进行整理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汇总，完成行业标准征求意见稿，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通过网站和专业媒体发布了《关于征求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环保展台设计制作指南（征求意见稿）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行业标准意见的函》（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商流促便函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），公开征求行业意见，并与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家重点单位逐一沟通，截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共收集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条反馈意见，形成征求意见汇总表。</w:t>
      </w:r>
    </w:p>
    <w:p>
      <w:pPr>
        <w:snapToGrid w:val="0"/>
        <w:spacing w:line="360" w:lineRule="auto"/>
        <w:ind w:firstLine="55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月，完成该标准送审稿和征求意见汇总处理表，报送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商务部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服务贸易司。</w:t>
      </w:r>
    </w:p>
    <w:p>
      <w:pPr>
        <w:ind w:firstLine="62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2019年3月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北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京召开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行业标准审定会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。来自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展览主办单位、会展场馆、展览服务商、学术研究机构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等单位的9位专家组成了标准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审定专家组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，对该标准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文本进行了逐条审定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专家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组一致通过对该标准送审稿的审查，要求标准起草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根据专家意见对标准进行修改后尽快按有关程序报批。</w:t>
      </w:r>
    </w:p>
    <w:p>
      <w:pPr>
        <w:ind w:firstLine="62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2019年5月，按照标准审定会上专家组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对标准评审会的修改意见，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形成了标准报批稿（初稿）并再次征求专家意见。标准审定会提出意见30条，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采纳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26条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，部分采纳1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，未采纳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3条</w:t>
      </w:r>
    </w:p>
    <w:p>
      <w:pPr>
        <w:ind w:firstLine="62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2019年6月，最终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形成标准报批稿。</w:t>
      </w:r>
    </w:p>
    <w:p>
      <w:pPr>
        <w:ind w:firstLine="62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2021年3月，</w:t>
      </w:r>
      <w:r>
        <w:rPr>
          <w:rFonts w:hint="eastAsia" w:ascii="仿宋_GB2312" w:eastAsia="仿宋_GB2312"/>
          <w:sz w:val="32"/>
          <w:szCs w:val="32"/>
          <w:lang w:eastAsia="zh-CN"/>
        </w:rPr>
        <w:t>经建设司审核，鉴于该标准审定会召开时间较早，为保障标准审定时效性，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再次征求专家意见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对该标准进行函审，并根据函审意见对标准报批稿进行修改后，报建设司。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二、标准制修订原则和内容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（一）制修订原则。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标准是依据国家相关法律、法规的要求，在充分考虑展览行业对环保展台设计制作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的基础上起草的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（二）主要制修订内容。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Times New Roman"/>
          <w:sz w:val="32"/>
          <w:szCs w:val="32"/>
          <w:u w:val="none"/>
          <w:lang w:eastAsia="zh-CN"/>
        </w:rPr>
        <w:t>本文件提供了环保展台设计制作的基本原则，以及展台主体、电气照明、装饰物、功能及展示效果等方面的指导和建议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，适用于环保展台设计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制作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的全过程。</w:t>
      </w:r>
    </w:p>
    <w:p>
      <w:pPr>
        <w:spacing w:line="360" w:lineRule="auto"/>
        <w:ind w:firstLine="643" w:firstLineChars="200"/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（三）主要试验（或验证）情况分析。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主要依据的相关现行标准有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:</w:t>
      </w:r>
      <w:r>
        <w:rPr>
          <w:rFonts w:hint="default" w:ascii="Times New Roman" w:hAnsi="Times New Roman" w:cs="Times New Roman"/>
          <w:u w:val="non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木结构设计规范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5005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经济贸易展览会术语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GB/T 26165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-2010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建筑结构荷载规范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50009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钢结构设计规范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50017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建筑结构可靠度设计统一标准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50068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建筑内部装修设计防火规范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50222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铝合金结构设计规范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GB 50429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）、《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环保展台评定标准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》（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SB/T 11217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-2018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三、与国际、国外有关法规和标准水平的比对分析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会展业发达国家用于促进会展行业可持续发展的标准十分完善。英国标准化协会于 2007 年出台BS 8901：2007《可持续会展项目管理体系规范》（Specification for a sustainable event management system），涉及会展项目可持续发展的环境、经济和社会三个方面内容，其中有关办展环境的规范即为会展业节能环保标准。该标准在减少碳排放和垃圾排放，促进会展设备、设施循环利用和减少对环境负面影响等方面发挥了积极作用。美国材料协会于2011年正式实施了ASTM E2741、2743、2746系列标准，明确了会议、展览和活动在运输、通信、市场宣传等方面的节能环保标准。国际标准化组织于2012年6月正式发布ISO 20121：2012《（比赛）项目可持续性管理体系—要求和应用指南》（Event sustainability management systems–Requirements with guidance for use），由30多个国家和团体共同研发，旨在促进有关活动、产品和服务的可持续性发展，其中减少环境污染是重要内容。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四、与有关现行法律、行政法规和其他强制性标准的关系，配套推荐性标准的情况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目前暂无与</w:t>
      </w:r>
      <w:r>
        <w:rPr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  <w:t>该标准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有关</w:t>
      </w:r>
      <w:r>
        <w:rPr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现行法律、行政法规和其他强制性标准</w:t>
      </w:r>
      <w:r>
        <w:rPr>
          <w:rFonts w:hint="eastAsia" w:eastAsia="仿宋_GB2312" w:cs="Times New Roman"/>
          <w:kern w:val="2"/>
          <w:sz w:val="32"/>
          <w:szCs w:val="32"/>
          <w:u w:val="none"/>
          <w:lang w:val="en-US" w:eastAsia="zh-CN" w:bidi="ar-SA"/>
        </w:rPr>
        <w:t>。配套推荐性标准有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《会展业节能降耗工作规范》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（SB/T11090-2014）、《展台分类及技术规范》（SB/T 11162-2016）、《展台器材 术语 型材》（SB/T 11161-2016）、《环保展台评定标准》（SB/T 11217-2018）。</w:t>
      </w:r>
    </w:p>
    <w:p>
      <w:pPr>
        <w:numPr>
          <w:ilvl w:val="0"/>
          <w:numId w:val="2"/>
        </w:num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重大分歧意见的处理过程及依据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无。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六、实施标准所需要的技术改造、成本投入、老旧产品退出市场时间、实施标准可能造成的社会影响等因素分析，以及根据这些因素提出的标准实施日期建议</w:t>
      </w:r>
    </w:p>
    <w:p>
      <w:pPr>
        <w:spacing w:line="360" w:lineRule="auto"/>
        <w:ind w:firstLine="640" w:firstLineChars="200"/>
        <w:rPr>
          <w:rFonts w:hint="default" w:eastAsia="仿宋_GB2312" w:cs="宋体" w:asciiTheme="minorHAnsi" w:hAnsiTheme="minorHAnsi"/>
          <w:sz w:val="32"/>
          <w:szCs w:val="32"/>
          <w:lang w:val="en-US" w:eastAsia="zh-CN"/>
        </w:rPr>
      </w:pPr>
      <w:r>
        <w:rPr>
          <w:rFonts w:hint="eastAsia" w:eastAsia="仿宋_GB2312" w:cs="宋体" w:asciiTheme="minorHAnsi" w:hAnsiTheme="minorHAnsi"/>
          <w:sz w:val="32"/>
          <w:szCs w:val="32"/>
          <w:lang w:eastAsia="zh-CN"/>
        </w:rPr>
        <w:t>建议标准实施日期</w:t>
      </w:r>
      <w:r>
        <w:rPr>
          <w:rFonts w:hint="eastAsia" w:eastAsia="仿宋_GB2312" w:cs="宋体" w:asciiTheme="minorHAnsi" w:hAnsiTheme="minorHAnsi"/>
          <w:sz w:val="32"/>
          <w:szCs w:val="32"/>
          <w:lang w:val="en-US" w:eastAsia="zh-CN"/>
        </w:rPr>
        <w:t>2021年。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七、实施标准的有关政策措施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无。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八、预期达到的社会效益、对产业发展的作用等情况</w:t>
      </w:r>
    </w:p>
    <w:p>
      <w:pPr>
        <w:spacing w:line="360" w:lineRule="auto"/>
        <w:ind w:firstLine="640" w:firstLineChars="200"/>
        <w:rPr>
          <w:rFonts w:hint="eastAsia" w:ascii="仿宋" w:hAnsi="仿宋" w:eastAsia="仿宋_GB2312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我国会展业经过近十年的高速发展，</w:t>
      </w:r>
      <w:r>
        <w:rPr>
          <w:rFonts w:hint="eastAsia" w:ascii="仿宋_GB2312" w:eastAsia="仿宋_GB2312"/>
          <w:sz w:val="32"/>
          <w:szCs w:val="32"/>
        </w:rPr>
        <w:t>当前，正处于转型发展的关键时期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eastAsia="仿宋_GB2312" w:cs="宋体" w:asciiTheme="minorHAnsi" w:hAnsiTheme="minorHAnsi"/>
          <w:sz w:val="32"/>
          <w:szCs w:val="32"/>
        </w:rPr>
        <w:t>十九大报告指出我国经济已由高速增长阶段转向高质量发展阶段，要推进绿色发展，加快建立绿色生产和消费的法律制度和政策导向，建立健全绿色低碳循环发展的经济体系。</w:t>
      </w:r>
      <w:r>
        <w:rPr>
          <w:rFonts w:hint="eastAsia" w:ascii="仿宋_GB2312" w:hAnsi="宋体" w:eastAsia="仿宋_GB2312" w:cs="宋体"/>
          <w:sz w:val="32"/>
          <w:szCs w:val="32"/>
        </w:rPr>
        <w:t>推动会展业绿色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可持续</w:t>
      </w:r>
      <w:r>
        <w:rPr>
          <w:rFonts w:hint="eastAsia" w:ascii="仿宋_GB2312" w:hAnsi="宋体" w:eastAsia="仿宋_GB2312" w:cs="宋体"/>
          <w:sz w:val="32"/>
          <w:szCs w:val="32"/>
        </w:rPr>
        <w:t>发展</w:t>
      </w:r>
      <w:r>
        <w:rPr>
          <w:rFonts w:hint="eastAsia" w:eastAsia="仿宋_GB2312" w:cs="宋体" w:asciiTheme="minorHAnsi" w:hAnsiTheme="minorHAnsi"/>
          <w:sz w:val="32"/>
          <w:szCs w:val="32"/>
        </w:rPr>
        <w:t>是我国会展业转型升级</w:t>
      </w:r>
      <w:r>
        <w:rPr>
          <w:rFonts w:hint="eastAsia" w:eastAsia="仿宋_GB2312" w:cs="宋体" w:asciiTheme="minorHAnsi" w:hAnsiTheme="minorHAnsi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sz w:val="32"/>
          <w:szCs w:val="32"/>
        </w:rPr>
        <w:t>迈入高质量发展阶段的第一步，这也是我国由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会展</w:t>
      </w:r>
      <w:r>
        <w:rPr>
          <w:rFonts w:hint="eastAsia" w:ascii="仿宋_GB2312" w:hAnsi="宋体" w:eastAsia="仿宋_GB2312" w:cs="宋体"/>
          <w:sz w:val="32"/>
          <w:szCs w:val="32"/>
        </w:rPr>
        <w:t>大国转变成为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会展</w:t>
      </w:r>
      <w:r>
        <w:rPr>
          <w:rFonts w:hint="eastAsia" w:ascii="仿宋_GB2312" w:hAnsi="宋体" w:eastAsia="仿宋_GB2312" w:cs="宋体"/>
          <w:sz w:val="32"/>
          <w:szCs w:val="32"/>
        </w:rPr>
        <w:t>强国的必经之路。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展台设计制作是会展运营的重要组成部分，也是</w:t>
      </w:r>
      <w:r>
        <w:rPr>
          <w:rFonts w:hint="eastAsia" w:eastAsia="仿宋_GB2312" w:cs="Times New Roman"/>
          <w:sz w:val="32"/>
          <w:szCs w:val="32"/>
          <w:lang w:eastAsia="zh-CN"/>
        </w:rPr>
        <w:t>推动绿色会展发展的基础，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《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环保展台设计制作指南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提出了</w:t>
      </w:r>
      <w:r>
        <w:rPr>
          <w:rFonts w:hint="eastAsia" w:eastAsia="仿宋_GB2312" w:cs="Times New Roman"/>
          <w:sz w:val="32"/>
          <w:szCs w:val="32"/>
          <w:lang w:eastAsia="zh-CN"/>
        </w:rPr>
        <w:t>环保展台设计制作的原则，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设计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搭建企业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提供工作指导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，为</w:t>
      </w:r>
      <w:r>
        <w:rPr>
          <w:rFonts w:hint="eastAsia" w:eastAsia="仿宋_GB2312"/>
          <w:sz w:val="32"/>
          <w:szCs w:val="32"/>
        </w:rPr>
        <w:t>推动中国会展业绿色发展</w:t>
      </w:r>
      <w:r>
        <w:rPr>
          <w:rFonts w:hint="eastAsia" w:eastAsia="仿宋_GB2312"/>
          <w:sz w:val="32"/>
          <w:szCs w:val="32"/>
          <w:lang w:eastAsia="zh-CN"/>
        </w:rPr>
        <w:t>提供</w:t>
      </w:r>
      <w:r>
        <w:rPr>
          <w:rFonts w:hint="eastAsia" w:eastAsia="仿宋_GB2312"/>
          <w:sz w:val="32"/>
          <w:szCs w:val="32"/>
        </w:rPr>
        <w:t>新动能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九、涉及专利的有关说明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无。</w:t>
      </w:r>
    </w:p>
    <w:p>
      <w:pPr>
        <w:spacing w:line="360" w:lineRule="auto"/>
        <w:ind w:firstLine="640" w:firstLineChars="200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十、其他应予说明的事项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为与《环保展台评定标准》（SB/T 11217-2018）保持题目一致，根据审定会专家意见，将《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环保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型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展台设计制作指南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》</w:t>
      </w:r>
      <w:r>
        <w:rPr>
          <w:rFonts w:hint="eastAsia" w:asci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标准名称修改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为《</w:t>
      </w:r>
      <w:r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环保展台设计制作指南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》。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05C608"/>
    <w:multiLevelType w:val="singleLevel"/>
    <w:tmpl w:val="F605C6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16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142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5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53"/>
    <w:rsid w:val="00010A43"/>
    <w:rsid w:val="00040218"/>
    <w:rsid w:val="000735F4"/>
    <w:rsid w:val="00080A68"/>
    <w:rsid w:val="00081FD0"/>
    <w:rsid w:val="000A007C"/>
    <w:rsid w:val="000B1891"/>
    <w:rsid w:val="000E5562"/>
    <w:rsid w:val="00110564"/>
    <w:rsid w:val="001303D1"/>
    <w:rsid w:val="0014224E"/>
    <w:rsid w:val="00157C26"/>
    <w:rsid w:val="0017270E"/>
    <w:rsid w:val="001B73EA"/>
    <w:rsid w:val="001C6BB7"/>
    <w:rsid w:val="001D1416"/>
    <w:rsid w:val="001D7338"/>
    <w:rsid w:val="001E71F3"/>
    <w:rsid w:val="001F0581"/>
    <w:rsid w:val="00220B1F"/>
    <w:rsid w:val="00230AEF"/>
    <w:rsid w:val="00253B3D"/>
    <w:rsid w:val="002706A0"/>
    <w:rsid w:val="00280719"/>
    <w:rsid w:val="002A168E"/>
    <w:rsid w:val="002B02BC"/>
    <w:rsid w:val="002F4B74"/>
    <w:rsid w:val="003009D2"/>
    <w:rsid w:val="003032F5"/>
    <w:rsid w:val="00326851"/>
    <w:rsid w:val="00394906"/>
    <w:rsid w:val="003A5358"/>
    <w:rsid w:val="003F61E1"/>
    <w:rsid w:val="0042602F"/>
    <w:rsid w:val="00434EE1"/>
    <w:rsid w:val="0045136A"/>
    <w:rsid w:val="00467AC9"/>
    <w:rsid w:val="00477CEE"/>
    <w:rsid w:val="00481F20"/>
    <w:rsid w:val="004B69E2"/>
    <w:rsid w:val="004D6BCD"/>
    <w:rsid w:val="00503783"/>
    <w:rsid w:val="00515931"/>
    <w:rsid w:val="00540A90"/>
    <w:rsid w:val="005431C5"/>
    <w:rsid w:val="00551F46"/>
    <w:rsid w:val="00581FFB"/>
    <w:rsid w:val="005E1628"/>
    <w:rsid w:val="0060294E"/>
    <w:rsid w:val="00635C23"/>
    <w:rsid w:val="00641248"/>
    <w:rsid w:val="00674F54"/>
    <w:rsid w:val="006A7263"/>
    <w:rsid w:val="006C587A"/>
    <w:rsid w:val="007127A1"/>
    <w:rsid w:val="007644A7"/>
    <w:rsid w:val="00791ECB"/>
    <w:rsid w:val="00792BC2"/>
    <w:rsid w:val="0080574C"/>
    <w:rsid w:val="0083245E"/>
    <w:rsid w:val="008606B7"/>
    <w:rsid w:val="00860B76"/>
    <w:rsid w:val="008958A5"/>
    <w:rsid w:val="008D3EB3"/>
    <w:rsid w:val="008D6A97"/>
    <w:rsid w:val="0092271F"/>
    <w:rsid w:val="00984B60"/>
    <w:rsid w:val="009A46F0"/>
    <w:rsid w:val="009C6716"/>
    <w:rsid w:val="009D3123"/>
    <w:rsid w:val="009E6426"/>
    <w:rsid w:val="009F4C8F"/>
    <w:rsid w:val="00A05810"/>
    <w:rsid w:val="00A310F5"/>
    <w:rsid w:val="00A40E27"/>
    <w:rsid w:val="00A434EC"/>
    <w:rsid w:val="00A63B91"/>
    <w:rsid w:val="00A703F7"/>
    <w:rsid w:val="00AD29C0"/>
    <w:rsid w:val="00B11E4A"/>
    <w:rsid w:val="00B468C1"/>
    <w:rsid w:val="00B73A3D"/>
    <w:rsid w:val="00BE4D2C"/>
    <w:rsid w:val="00C063EF"/>
    <w:rsid w:val="00C0698E"/>
    <w:rsid w:val="00C20557"/>
    <w:rsid w:val="00C57BE8"/>
    <w:rsid w:val="00C763C0"/>
    <w:rsid w:val="00C94001"/>
    <w:rsid w:val="00CA3A82"/>
    <w:rsid w:val="00CA4135"/>
    <w:rsid w:val="00CA6971"/>
    <w:rsid w:val="00CD7919"/>
    <w:rsid w:val="00CF27C2"/>
    <w:rsid w:val="00D5012A"/>
    <w:rsid w:val="00D51504"/>
    <w:rsid w:val="00DB0C48"/>
    <w:rsid w:val="00DB41B6"/>
    <w:rsid w:val="00DB62F5"/>
    <w:rsid w:val="00DC30E4"/>
    <w:rsid w:val="00DC3A07"/>
    <w:rsid w:val="00DC7053"/>
    <w:rsid w:val="00DE7EA8"/>
    <w:rsid w:val="00DF46C9"/>
    <w:rsid w:val="00DF7D07"/>
    <w:rsid w:val="00E36A50"/>
    <w:rsid w:val="00E4026F"/>
    <w:rsid w:val="00E456A0"/>
    <w:rsid w:val="00E551D7"/>
    <w:rsid w:val="00E62814"/>
    <w:rsid w:val="00E84826"/>
    <w:rsid w:val="00EA5CFC"/>
    <w:rsid w:val="00EB0E10"/>
    <w:rsid w:val="00EB123D"/>
    <w:rsid w:val="00F279E8"/>
    <w:rsid w:val="00F55186"/>
    <w:rsid w:val="00F60EB1"/>
    <w:rsid w:val="00FA51DF"/>
    <w:rsid w:val="00FB2602"/>
    <w:rsid w:val="00FD7CDF"/>
    <w:rsid w:val="01197A37"/>
    <w:rsid w:val="054C02A0"/>
    <w:rsid w:val="084017FD"/>
    <w:rsid w:val="0A4B68FC"/>
    <w:rsid w:val="0E4B46F4"/>
    <w:rsid w:val="0E6240A4"/>
    <w:rsid w:val="10FE556A"/>
    <w:rsid w:val="11005C14"/>
    <w:rsid w:val="116051C2"/>
    <w:rsid w:val="14F87241"/>
    <w:rsid w:val="17250A86"/>
    <w:rsid w:val="173A3566"/>
    <w:rsid w:val="199E33F3"/>
    <w:rsid w:val="1E030180"/>
    <w:rsid w:val="235576A6"/>
    <w:rsid w:val="27763428"/>
    <w:rsid w:val="285B1F45"/>
    <w:rsid w:val="293E089A"/>
    <w:rsid w:val="2B9D769C"/>
    <w:rsid w:val="35AA0638"/>
    <w:rsid w:val="37D0486A"/>
    <w:rsid w:val="38C96A08"/>
    <w:rsid w:val="3A0C4133"/>
    <w:rsid w:val="3EE6263E"/>
    <w:rsid w:val="40F2452B"/>
    <w:rsid w:val="426377F5"/>
    <w:rsid w:val="44B90772"/>
    <w:rsid w:val="46861DC2"/>
    <w:rsid w:val="48551401"/>
    <w:rsid w:val="49B0332F"/>
    <w:rsid w:val="4A4F299E"/>
    <w:rsid w:val="522B6734"/>
    <w:rsid w:val="567A74D7"/>
    <w:rsid w:val="57004E84"/>
    <w:rsid w:val="576542A4"/>
    <w:rsid w:val="5A1A464D"/>
    <w:rsid w:val="5AD84B79"/>
    <w:rsid w:val="5C3009C7"/>
    <w:rsid w:val="6101449F"/>
    <w:rsid w:val="70A2650C"/>
    <w:rsid w:val="7327773C"/>
    <w:rsid w:val="764832D3"/>
    <w:rsid w:val="77E03354"/>
    <w:rsid w:val="7B126C88"/>
    <w:rsid w:val="7BD52F1A"/>
    <w:rsid w:val="7D7415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widowControl/>
      <w:spacing w:after="185" w:line="265" w:lineRule="auto"/>
      <w:ind w:left="10" w:hanging="10"/>
      <w:jc w:val="left"/>
    </w:pPr>
    <w:rPr>
      <w:rFonts w:ascii="微软雅黑" w:hAnsi="微软雅黑" w:eastAsia="微软雅黑"/>
      <w:color w:val="000000"/>
      <w:szCs w:val="22"/>
    </w:rPr>
  </w:style>
  <w:style w:type="paragraph" w:styleId="3">
    <w:name w:val="Body Text"/>
    <w:basedOn w:val="1"/>
    <w:qFormat/>
    <w:uiPriority w:val="1"/>
    <w:pPr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段 Char"/>
    <w:link w:val="13"/>
    <w:qFormat/>
    <w:uiPriority w:val="99"/>
    <w:rPr>
      <w:rFonts w:ascii="宋体"/>
    </w:rPr>
  </w:style>
  <w:style w:type="paragraph" w:customStyle="1" w:styleId="13">
    <w:name w:val="段"/>
    <w:link w:val="12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段 Char Char"/>
    <w:qFormat/>
    <w:uiPriority w:val="0"/>
    <w:rPr>
      <w:rFonts w:ascii="宋体"/>
      <w:sz w:val="21"/>
    </w:rPr>
  </w:style>
  <w:style w:type="character" w:customStyle="1" w:styleId="15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章标题"/>
    <w:next w:val="13"/>
    <w:qFormat/>
    <w:uiPriority w:val="99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228</Words>
  <Characters>1306</Characters>
  <Lines>10</Lines>
  <Paragraphs>3</Paragraphs>
  <TotalTime>3</TotalTime>
  <ScaleCrop>false</ScaleCrop>
  <LinksUpToDate>false</LinksUpToDate>
  <CharactersWithSpaces>1531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2016-02-18T08:02:00Z</dcterms:created>
  <dc:creator>11</dc:creator>
  <cp:lastModifiedBy>夏钦</cp:lastModifiedBy>
  <cp:lastPrinted>2021-03-15T01:21:00Z</cp:lastPrinted>
  <dcterms:modified xsi:type="dcterms:W3CDTF">2021-03-29T08:20:24Z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319F57690A8B4962BED55AE7772DD1BA</vt:lpwstr>
  </property>
</Properties>
</file>