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D2" w:rsidRPr="00225248" w:rsidRDefault="00CD5AD2" w:rsidP="00CB00DF">
      <w:pPr>
        <w:spacing w:line="440" w:lineRule="exact"/>
        <w:jc w:val="center"/>
        <w:rPr>
          <w:rFonts w:ascii="仿宋" w:eastAsia="仿宋" w:hAnsi="仿宋"/>
          <w:b/>
          <w:szCs w:val="21"/>
        </w:rPr>
      </w:pPr>
    </w:p>
    <w:p w:rsidR="00CB00DF" w:rsidRPr="00225248" w:rsidRDefault="00CB00DF" w:rsidP="00CD5AD2">
      <w:pPr>
        <w:spacing w:line="440" w:lineRule="exact"/>
        <w:jc w:val="center"/>
        <w:rPr>
          <w:rFonts w:ascii="仿宋" w:eastAsia="仿宋" w:hAnsi="仿宋"/>
          <w:sz w:val="30"/>
          <w:szCs w:val="30"/>
        </w:rPr>
      </w:pPr>
      <w:r w:rsidRPr="00225248">
        <w:rPr>
          <w:rFonts w:ascii="仿宋" w:eastAsia="仿宋" w:hAnsi="仿宋" w:hint="eastAsia"/>
          <w:b/>
          <w:sz w:val="30"/>
          <w:szCs w:val="30"/>
        </w:rPr>
        <w:t>经营者集中简易案件公示表</w:t>
      </w:r>
    </w:p>
    <w:p w:rsidR="00CB00DF" w:rsidRPr="00225248" w:rsidRDefault="00CB00DF" w:rsidP="00CB00DF">
      <w:pPr>
        <w:spacing w:line="440" w:lineRule="exact"/>
        <w:ind w:firstLineChars="302" w:firstLine="846"/>
        <w:rPr>
          <w:rFonts w:ascii="仿宋" w:eastAsia="仿宋" w:hAnsi="仿宋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CB00DF" w:rsidRPr="00225248" w:rsidTr="00CB00DF">
        <w:tc>
          <w:tcPr>
            <w:tcW w:w="1809" w:type="dxa"/>
            <w:shd w:val="clear" w:color="auto" w:fill="D9D9D9"/>
            <w:vAlign w:val="center"/>
          </w:tcPr>
          <w:p w:rsidR="00CB00DF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:rsidR="00CB00DF" w:rsidRPr="00225248" w:rsidRDefault="00154B65" w:rsidP="00225248">
            <w:pPr>
              <w:spacing w:beforeLines="100" w:before="312" w:afterLines="100" w:after="312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广州金控资本管理有限公司（以下简称“</w:t>
            </w:r>
            <w:r w:rsidRPr="00225248">
              <w:rPr>
                <w:rFonts w:ascii="仿宋" w:eastAsia="仿宋" w:hAnsi="仿宋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广金资本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”）通过合同取得鹏起科技发展股份有限公司（以下简称“</w:t>
            </w:r>
            <w:r w:rsidRPr="00225248">
              <w:rPr>
                <w:rFonts w:ascii="仿宋" w:eastAsia="仿宋" w:hAnsi="仿宋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鹏起科技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="003B23BB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或“</w:t>
            </w:r>
            <w:r w:rsidR="003B23BB" w:rsidRPr="00CC6B5F">
              <w:rPr>
                <w:rFonts w:ascii="仿宋" w:eastAsia="仿宋" w:hAnsi="仿宋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目标公司</w:t>
            </w:r>
            <w:r w:rsidR="003B23BB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）的控制权案</w:t>
            </w:r>
          </w:p>
        </w:tc>
      </w:tr>
      <w:tr w:rsidR="00CB00DF" w:rsidRPr="00225248" w:rsidTr="00CB00D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:rsidR="00F1624E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:rsidR="00CB00DF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（限200字内）</w:t>
            </w:r>
          </w:p>
        </w:tc>
        <w:tc>
          <w:tcPr>
            <w:tcW w:w="6949" w:type="dxa"/>
            <w:gridSpan w:val="2"/>
          </w:tcPr>
          <w:p w:rsidR="00225248" w:rsidRPr="00225248" w:rsidRDefault="00225248" w:rsidP="00091700">
            <w:pPr>
              <w:spacing w:beforeLines="100" w:before="312" w:afterLines="100" w:after="312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本次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交易前，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鹏起科技由</w:t>
            </w:r>
            <w:r w:rsidR="003B23BB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张朋起及其一致行动人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单独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控制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张朋起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及其一致行动人拟将其持有的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目标公司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鹏起科技16.95%股份对应的投票权委托至广金资本行使。本次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交易后，广金资本将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通过其持有的鹏起科技1.94%的股份，以及从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张朋起</w:t>
            </w:r>
            <w:r w:rsidR="003B23BB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及其一致行动人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处获得的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16.95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股权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所对应的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投票权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共计取得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目标公司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18.89%股份对应的投票权，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从而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取得对鹏起科技的单独控制权。</w:t>
            </w:r>
          </w:p>
        </w:tc>
      </w:tr>
      <w:tr w:rsidR="00CB00DF" w:rsidRPr="00225248" w:rsidTr="00CB00DF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F1624E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:rsidR="00CB00DF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</w:tcPr>
          <w:p w:rsidR="00CB00DF" w:rsidRPr="00225248" w:rsidRDefault="00CB00DF" w:rsidP="00225248">
            <w:pPr>
              <w:spacing w:beforeLines="100" w:before="312" w:afterLines="100" w:after="312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</w:t>
            </w:r>
            <w:r w:rsidR="00225248"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广金资本</w:t>
            </w:r>
          </w:p>
        </w:tc>
        <w:tc>
          <w:tcPr>
            <w:tcW w:w="5153" w:type="dxa"/>
          </w:tcPr>
          <w:p w:rsidR="00CB00DF" w:rsidRPr="00225248" w:rsidRDefault="00037116" w:rsidP="00225248">
            <w:pPr>
              <w:spacing w:beforeLines="100" w:before="312" w:afterLines="100" w:after="312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广金资本为一家金融投资公司，主营业务包括企业自有资金投资、企业管理服务、资产管理、投资咨询服务以及投资管理服务。</w:t>
            </w:r>
          </w:p>
        </w:tc>
      </w:tr>
      <w:tr w:rsidR="00CB00DF" w:rsidRPr="00225248" w:rsidTr="00CB00DF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:rsidR="00CB00DF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</w:tcPr>
          <w:p w:rsidR="00CB00DF" w:rsidRPr="00225248" w:rsidRDefault="00CB00DF" w:rsidP="00225248">
            <w:pPr>
              <w:spacing w:beforeLines="100" w:before="312" w:afterLines="100" w:after="312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2、</w:t>
            </w:r>
            <w:r w:rsidR="00154B65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鹏起科技</w:t>
            </w:r>
          </w:p>
        </w:tc>
        <w:tc>
          <w:tcPr>
            <w:tcW w:w="5153" w:type="dxa"/>
          </w:tcPr>
          <w:p w:rsidR="00225248" w:rsidRDefault="00225248" w:rsidP="00225248">
            <w:pPr>
              <w:snapToGrid w:val="0"/>
              <w:spacing w:beforeLines="100" w:before="312" w:afterLines="100" w:after="312"/>
              <w:jc w:val="left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鹏起科技的主营业务为军工业务、环保业务，主要子公司有洛阳鹏起实业有限公司、</w:t>
            </w:r>
            <w:r w:rsidR="003B23BB"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成都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宝通天宇电子科技有限公司</w:t>
            </w:r>
            <w:r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和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郴州丰越环保科技有限公司。</w:t>
            </w:r>
          </w:p>
          <w:p w:rsidR="00CB00DF" w:rsidRPr="00225248" w:rsidRDefault="00037116" w:rsidP="00225248">
            <w:pPr>
              <w:snapToGrid w:val="0"/>
              <w:spacing w:beforeLines="100" w:before="312" w:afterLines="100" w:after="312"/>
              <w:jc w:val="left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军工相关业务</w:t>
            </w:r>
            <w:r w:rsid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</w:t>
            </w:r>
            <w:r w:rsid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主要产品</w:t>
            </w:r>
            <w:r w:rsidR="00225248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为</w:t>
            </w: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钛及钛合金金属铸造</w:t>
            </w:r>
            <w:r w:rsid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；</w:t>
            </w:r>
            <w:r w:rsidR="005E25E2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环保相关业务具体为：从主要含有锌、铟、锡、银等有色金属的尾矿以及冶炼废渣中综合回收铟、锌、锡、银、铅、铜、镉、镓、锗、金等多种有色金属和硫酸的清洁生产和销售，属于资源综合回收利用行业。</w:t>
            </w:r>
          </w:p>
        </w:tc>
      </w:tr>
      <w:tr w:rsidR="00CB00DF" w:rsidRPr="00225248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CB00DF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:rsidR="00CB00DF" w:rsidRPr="00225248" w:rsidRDefault="00154B65" w:rsidP="00225248">
            <w:pPr>
              <w:spacing w:beforeLines="100" w:before="312" w:afterLines="100" w:after="312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1.在同一相关市场，所有参与集中的经营者所占市场份额之和小于15%。</w:t>
            </w:r>
          </w:p>
        </w:tc>
      </w:tr>
      <w:tr w:rsidR="00CB00DF" w:rsidRPr="00225248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:rsidR="00CB00DF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CB00DF" w:rsidRPr="00225248" w:rsidRDefault="00154B65" w:rsidP="00225248">
            <w:pPr>
              <w:spacing w:beforeLines="100" w:before="312" w:afterLines="100" w:after="312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CB00DF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2.存在上下游关系的参与集中的经营者，在上下游市场所占的市场份额均小于25%。</w:t>
            </w:r>
          </w:p>
        </w:tc>
      </w:tr>
      <w:tr w:rsidR="00CB00DF" w:rsidRPr="00225248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:rsidR="00CB00DF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CB00DF" w:rsidRPr="00225248" w:rsidRDefault="00154B65" w:rsidP="00225248">
            <w:pPr>
              <w:spacing w:beforeLines="100" w:before="312" w:afterLines="100" w:after="312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CB00DF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3.不在同一相关市场、也不存在上下游关系的参与集中的经营者，在与交易有关的每个市场所占的份额均小于25%。</w:t>
            </w:r>
          </w:p>
        </w:tc>
      </w:tr>
      <w:tr w:rsidR="00CB00DF" w:rsidRPr="00225248" w:rsidTr="00CB00D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:rsidR="00CB00DF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CB00DF" w:rsidRPr="00225248" w:rsidRDefault="00CB00DF" w:rsidP="00225248">
            <w:pPr>
              <w:spacing w:beforeLines="100" w:before="312" w:afterLines="100" w:after="312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□4.参与集中的经营者在中国境外设立合营企业，合营企业不在中国境内从事经济活动。</w:t>
            </w:r>
          </w:p>
        </w:tc>
      </w:tr>
      <w:tr w:rsidR="00CB00DF" w:rsidRPr="00225248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:rsidR="00CB00DF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CB00DF" w:rsidRPr="00225248" w:rsidRDefault="00CB00DF" w:rsidP="00225248">
            <w:pPr>
              <w:spacing w:beforeLines="100" w:before="312" w:afterLines="100" w:after="312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□5.参与集中的经营者收购境外企业股权或资产的，该境外企业不在中国境内从事经济活动。</w:t>
            </w:r>
          </w:p>
        </w:tc>
      </w:tr>
      <w:tr w:rsidR="00CB00DF" w:rsidRPr="00225248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:rsidR="00CB00DF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:rsidR="00CB00DF" w:rsidRPr="00225248" w:rsidRDefault="00CB00DF" w:rsidP="00225248">
            <w:pPr>
              <w:spacing w:beforeLines="100" w:before="312" w:afterLines="100" w:after="312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□6.由两个以上的经营者共同控制的合营企业，通过集中被其中一个或一个以上经营者控制。</w:t>
            </w:r>
          </w:p>
        </w:tc>
      </w:tr>
      <w:tr w:rsidR="00CB00DF" w:rsidRPr="00225248" w:rsidTr="00CB00DF">
        <w:tc>
          <w:tcPr>
            <w:tcW w:w="1809" w:type="dxa"/>
            <w:shd w:val="clear" w:color="auto" w:fill="D9D9D9"/>
            <w:vAlign w:val="center"/>
          </w:tcPr>
          <w:p w:rsidR="00CB00DF" w:rsidRPr="00225248" w:rsidRDefault="00CB00DF" w:rsidP="00225248">
            <w:pPr>
              <w:spacing w:beforeLines="100" w:before="312" w:afterLines="100" w:after="312"/>
              <w:jc w:val="center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:rsidR="00503F87" w:rsidRPr="00225248" w:rsidRDefault="00503F87" w:rsidP="00225248">
            <w:pPr>
              <w:spacing w:beforeLines="100" w:before="312" w:afterLines="100" w:after="312"/>
              <w:rPr>
                <w:rFonts w:ascii="仿宋" w:eastAsia="仿宋" w:hAnsi="仿宋"/>
                <w:b/>
                <w:color w:val="333333"/>
                <w:kern w:val="0"/>
                <w:sz w:val="24"/>
                <w:szCs w:val="24"/>
                <w:u w:val="single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b/>
                <w:color w:val="333333"/>
                <w:kern w:val="0"/>
                <w:sz w:val="24"/>
                <w:szCs w:val="24"/>
                <w:u w:val="single"/>
                <w:bdr w:val="none" w:sz="0" w:space="0" w:color="auto" w:frame="1"/>
              </w:rPr>
              <w:t>相关市场：</w:t>
            </w:r>
          </w:p>
          <w:p w:rsidR="00503F87" w:rsidRPr="00225248" w:rsidRDefault="00503F87" w:rsidP="00225248">
            <w:pPr>
              <w:pStyle w:val="a7"/>
              <w:numPr>
                <w:ilvl w:val="0"/>
                <w:numId w:val="1"/>
              </w:numPr>
              <w:spacing w:beforeLines="100" w:before="312" w:afterLines="100" w:after="312"/>
              <w:ind w:firstLineChars="0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钛合金产品全球市场</w:t>
            </w:r>
          </w:p>
          <w:p w:rsidR="00503F87" w:rsidRPr="00225248" w:rsidRDefault="00503F87" w:rsidP="00225248">
            <w:pPr>
              <w:pStyle w:val="a7"/>
              <w:numPr>
                <w:ilvl w:val="0"/>
                <w:numId w:val="1"/>
              </w:numPr>
              <w:spacing w:beforeLines="100" w:before="312" w:afterLines="100" w:after="312"/>
              <w:ind w:firstLineChars="0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有色金属回收中国市场</w:t>
            </w:r>
          </w:p>
          <w:p w:rsidR="003E5DBC" w:rsidRPr="00225248" w:rsidRDefault="00503F87" w:rsidP="00225248">
            <w:pPr>
              <w:spacing w:beforeLines="100" w:before="312" w:afterLines="100" w:after="312"/>
              <w:rPr>
                <w:rFonts w:ascii="仿宋" w:eastAsia="仿宋" w:hAnsi="仿宋"/>
                <w:b/>
                <w:color w:val="333333"/>
                <w:kern w:val="0"/>
                <w:sz w:val="24"/>
                <w:szCs w:val="24"/>
                <w:u w:val="single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b/>
                <w:color w:val="333333"/>
                <w:kern w:val="0"/>
                <w:sz w:val="24"/>
                <w:szCs w:val="24"/>
                <w:u w:val="single"/>
                <w:bdr w:val="none" w:sz="0" w:space="0" w:color="auto" w:frame="1"/>
              </w:rPr>
              <w:t>市场份额：</w:t>
            </w:r>
          </w:p>
          <w:p w:rsidR="004061E7" w:rsidRPr="00225248" w:rsidRDefault="00503F87" w:rsidP="00225248">
            <w:pPr>
              <w:pStyle w:val="a7"/>
              <w:numPr>
                <w:ilvl w:val="0"/>
                <w:numId w:val="4"/>
              </w:numPr>
              <w:spacing w:beforeLines="100" w:before="312" w:afterLines="100" w:after="312"/>
              <w:ind w:firstLineChars="0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2017年和2018年</w:t>
            </w:r>
            <w:r w:rsidR="00155592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钛合金产品</w:t>
            </w:r>
            <w:r w:rsidR="003E5DBC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</w:t>
            </w:r>
            <w:r w:rsidR="00155592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份额</w:t>
            </w:r>
            <w:r w:rsidR="00155592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:</w:t>
            </w:r>
          </w:p>
          <w:p w:rsidR="003E5DBC" w:rsidRPr="00225248" w:rsidRDefault="003E5DBC" w:rsidP="00225248">
            <w:pPr>
              <w:pStyle w:val="a7"/>
              <w:spacing w:beforeLines="100" w:before="312" w:afterLines="100" w:after="312"/>
              <w:ind w:left="360" w:firstLineChars="0" w:firstLine="0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鹏起科技：[5-10]%</w:t>
            </w:r>
          </w:p>
          <w:p w:rsidR="003E5DBC" w:rsidRPr="00225248" w:rsidRDefault="00503F87" w:rsidP="00225248">
            <w:pPr>
              <w:pStyle w:val="a7"/>
              <w:numPr>
                <w:ilvl w:val="0"/>
                <w:numId w:val="4"/>
              </w:numPr>
              <w:spacing w:beforeLines="100" w:before="312" w:afterLines="100" w:after="312"/>
              <w:ind w:firstLineChars="0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2017年和2018年</w:t>
            </w:r>
            <w:r w:rsidR="003E5DBC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钛合金产品</w:t>
            </w:r>
            <w:r w:rsid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全球</w:t>
            </w:r>
            <w:r w:rsidR="00155592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份额</w:t>
            </w:r>
            <w:r w:rsidR="00155592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：</w:t>
            </w:r>
          </w:p>
          <w:p w:rsidR="003E5DBC" w:rsidRPr="00225248" w:rsidRDefault="003E5DBC" w:rsidP="00225248">
            <w:pPr>
              <w:pStyle w:val="a7"/>
              <w:spacing w:beforeLines="100" w:before="312" w:afterLines="100" w:after="312"/>
              <w:ind w:left="360" w:firstLineChars="0" w:firstLine="0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鹏起科技：[0-5]%</w:t>
            </w:r>
            <w:bookmarkStart w:id="0" w:name="_GoBack"/>
            <w:bookmarkEnd w:id="0"/>
          </w:p>
          <w:p w:rsidR="00155592" w:rsidRPr="00225248" w:rsidRDefault="00503F87" w:rsidP="00225248">
            <w:pPr>
              <w:pStyle w:val="a7"/>
              <w:numPr>
                <w:ilvl w:val="0"/>
                <w:numId w:val="4"/>
              </w:numPr>
              <w:spacing w:beforeLines="100" w:before="312" w:afterLines="100" w:after="312"/>
              <w:ind w:firstLineChars="0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2017年</w:t>
            </w:r>
            <w:r w:rsidR="00155592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有色金属</w:t>
            </w:r>
            <w:r w:rsidR="00AF561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回收</w:t>
            </w:r>
            <w:r w:rsidR="00155592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中国市场</w:t>
            </w:r>
            <w:r w:rsidRPr="00225248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份额</w:t>
            </w:r>
            <w:r w:rsidR="00155592"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：</w:t>
            </w:r>
          </w:p>
          <w:p w:rsidR="00503F87" w:rsidRPr="00225248" w:rsidRDefault="003E5DBC" w:rsidP="00225248">
            <w:pPr>
              <w:pStyle w:val="a7"/>
              <w:spacing w:beforeLines="100" w:before="312" w:afterLines="100" w:after="312"/>
              <w:ind w:left="360" w:firstLineChars="0" w:firstLine="0"/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225248">
              <w:rPr>
                <w:rFonts w:ascii="仿宋" w:eastAsia="仿宋" w:hAnsi="仿宋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鹏起科技：[0-5]%</w:t>
            </w:r>
          </w:p>
        </w:tc>
      </w:tr>
    </w:tbl>
    <w:p w:rsidR="00CB00DF" w:rsidRPr="00225248" w:rsidRDefault="00CB00DF" w:rsidP="00CB00DF">
      <w:pPr>
        <w:snapToGrid w:val="0"/>
        <w:spacing w:line="240" w:lineRule="exact"/>
        <w:jc w:val="left"/>
        <w:rPr>
          <w:rFonts w:ascii="仿宋" w:eastAsia="仿宋" w:hAnsi="仿宋"/>
          <w:sz w:val="24"/>
          <w:szCs w:val="24"/>
        </w:rPr>
      </w:pPr>
    </w:p>
    <w:p w:rsidR="003A29D0" w:rsidRPr="00225248" w:rsidRDefault="003A29D0" w:rsidP="003A29D0">
      <w:pPr>
        <w:snapToGrid w:val="0"/>
        <w:spacing w:line="500" w:lineRule="exact"/>
        <w:jc w:val="left"/>
        <w:rPr>
          <w:rFonts w:ascii="仿宋" w:eastAsia="仿宋" w:hAnsi="仿宋"/>
          <w:sz w:val="24"/>
          <w:szCs w:val="24"/>
        </w:rPr>
      </w:pPr>
      <w:r w:rsidRPr="00225248">
        <w:rPr>
          <w:rFonts w:ascii="仿宋" w:eastAsia="仿宋" w:hAnsi="仿宋"/>
          <w:sz w:val="24"/>
          <w:szCs w:val="24"/>
        </w:rPr>
        <w:t>注解：</w:t>
      </w:r>
    </w:p>
    <w:p w:rsidR="003A29D0" w:rsidRPr="00225248" w:rsidRDefault="003A29D0" w:rsidP="003A29D0">
      <w:pPr>
        <w:snapToGrid w:val="0"/>
        <w:spacing w:line="5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225248">
        <w:rPr>
          <w:rFonts w:ascii="仿宋" w:eastAsia="仿宋" w:hAnsi="仿宋"/>
          <w:sz w:val="24"/>
          <w:szCs w:val="24"/>
        </w:rPr>
        <w:t>1、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</w:t>
      </w:r>
      <w:r w:rsidRPr="00225248">
        <w:rPr>
          <w:rFonts w:ascii="仿宋" w:eastAsia="仿宋" w:hAnsi="仿宋"/>
          <w:sz w:val="24"/>
          <w:szCs w:val="24"/>
        </w:rPr>
        <w:lastRenderedPageBreak/>
        <w:t>有勾选的，视为本集中不涉及该类型交易。</w:t>
      </w:r>
    </w:p>
    <w:p w:rsidR="003A29D0" w:rsidRPr="00225248" w:rsidRDefault="003A29D0" w:rsidP="003A29D0">
      <w:pPr>
        <w:spacing w:line="500" w:lineRule="exact"/>
        <w:ind w:firstLineChars="200" w:firstLine="480"/>
        <w:rPr>
          <w:rFonts w:ascii="仿宋" w:eastAsia="仿宋" w:hAnsi="仿宋"/>
          <w:sz w:val="28"/>
          <w:szCs w:val="28"/>
        </w:rPr>
      </w:pPr>
      <w:r w:rsidRPr="00225248">
        <w:rPr>
          <w:rFonts w:ascii="仿宋" w:eastAsia="仿宋" w:hAnsi="仿宋"/>
          <w:sz w:val="24"/>
          <w:szCs w:val="24"/>
        </w:rPr>
        <w:t>2、申报方申请简易案件的理由是基于第4项、第5项时，无须在备注中说明相关市场和市场份额。</w:t>
      </w:r>
      <w:r w:rsidRPr="00225248">
        <w:rPr>
          <w:rFonts w:ascii="仿宋" w:eastAsia="仿宋" w:hAnsi="仿宋"/>
          <w:sz w:val="24"/>
          <w:szCs w:val="24"/>
        </w:rPr>
        <w:br/>
        <w:t xml:space="preserve">    3、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 w:rsidR="00154B65" w:rsidRPr="00225248" w:rsidRDefault="00154B65">
      <w:pPr>
        <w:rPr>
          <w:rFonts w:ascii="仿宋" w:eastAsia="仿宋" w:hAnsi="仿宋"/>
        </w:rPr>
      </w:pPr>
    </w:p>
    <w:sectPr w:rsidR="00154B65" w:rsidRPr="00225248" w:rsidSect="00154B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4C" w:rsidRDefault="0002004C" w:rsidP="009373A6">
      <w:r>
        <w:separator/>
      </w:r>
    </w:p>
  </w:endnote>
  <w:endnote w:type="continuationSeparator" w:id="0">
    <w:p w:rsidR="0002004C" w:rsidRDefault="0002004C" w:rsidP="0093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9387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54B65" w:rsidRPr="00F94E15" w:rsidRDefault="00154B65">
        <w:pPr>
          <w:pStyle w:val="a5"/>
          <w:jc w:val="center"/>
          <w:rPr>
            <w:rFonts w:ascii="Times New Roman" w:hAnsi="Times New Roman"/>
          </w:rPr>
        </w:pPr>
        <w:r w:rsidRPr="00F94E15">
          <w:rPr>
            <w:rFonts w:ascii="Times New Roman" w:hAnsi="Times New Roman"/>
          </w:rPr>
          <w:fldChar w:fldCharType="begin"/>
        </w:r>
        <w:r w:rsidRPr="00F94E15">
          <w:rPr>
            <w:rFonts w:ascii="Times New Roman" w:hAnsi="Times New Roman"/>
          </w:rPr>
          <w:instrText>PAGE   \* MERGEFORMAT</w:instrText>
        </w:r>
        <w:r w:rsidRPr="00F94E15">
          <w:rPr>
            <w:rFonts w:ascii="Times New Roman" w:hAnsi="Times New Roman"/>
          </w:rPr>
          <w:fldChar w:fldCharType="separate"/>
        </w:r>
        <w:r w:rsidR="00AF5615" w:rsidRPr="00AF5615">
          <w:rPr>
            <w:rFonts w:ascii="Times New Roman" w:hAnsi="Times New Roman"/>
            <w:noProof/>
            <w:lang w:val="zh-CN"/>
          </w:rPr>
          <w:t>2</w:t>
        </w:r>
        <w:r w:rsidRPr="00F94E15">
          <w:rPr>
            <w:rFonts w:ascii="Times New Roman" w:hAnsi="Times New Roman"/>
          </w:rPr>
          <w:fldChar w:fldCharType="end"/>
        </w:r>
      </w:p>
    </w:sdtContent>
  </w:sdt>
  <w:p w:rsidR="00154B65" w:rsidRDefault="00154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4C" w:rsidRDefault="0002004C" w:rsidP="009373A6">
      <w:r>
        <w:separator/>
      </w:r>
    </w:p>
  </w:footnote>
  <w:footnote w:type="continuationSeparator" w:id="0">
    <w:p w:rsidR="0002004C" w:rsidRDefault="0002004C" w:rsidP="0093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AE5"/>
    <w:multiLevelType w:val="hybridMultilevel"/>
    <w:tmpl w:val="26EEF054"/>
    <w:lvl w:ilvl="0" w:tplc="4530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662B0F"/>
    <w:multiLevelType w:val="hybridMultilevel"/>
    <w:tmpl w:val="0744375C"/>
    <w:lvl w:ilvl="0" w:tplc="63F2C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7424F6"/>
    <w:multiLevelType w:val="hybridMultilevel"/>
    <w:tmpl w:val="E1D06292"/>
    <w:lvl w:ilvl="0" w:tplc="E76A8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D97DFD"/>
    <w:multiLevelType w:val="hybridMultilevel"/>
    <w:tmpl w:val="BCF4978E"/>
    <w:lvl w:ilvl="0" w:tplc="F1700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2004C"/>
    <w:rsid w:val="00037065"/>
    <w:rsid w:val="00037116"/>
    <w:rsid w:val="00091700"/>
    <w:rsid w:val="0009214D"/>
    <w:rsid w:val="000C0BD7"/>
    <w:rsid w:val="000D7EBA"/>
    <w:rsid w:val="000E1DFE"/>
    <w:rsid w:val="001164CD"/>
    <w:rsid w:val="001430C8"/>
    <w:rsid w:val="00154B65"/>
    <w:rsid w:val="00155592"/>
    <w:rsid w:val="00155717"/>
    <w:rsid w:val="00176997"/>
    <w:rsid w:val="001837A3"/>
    <w:rsid w:val="00225248"/>
    <w:rsid w:val="002278C7"/>
    <w:rsid w:val="003A29D0"/>
    <w:rsid w:val="003A61DC"/>
    <w:rsid w:val="003B23BB"/>
    <w:rsid w:val="003C0AEB"/>
    <w:rsid w:val="003E5DBC"/>
    <w:rsid w:val="004061E7"/>
    <w:rsid w:val="004343E6"/>
    <w:rsid w:val="004A45D9"/>
    <w:rsid w:val="004F7688"/>
    <w:rsid w:val="00503F87"/>
    <w:rsid w:val="005B3AC8"/>
    <w:rsid w:val="005E25E2"/>
    <w:rsid w:val="006467D8"/>
    <w:rsid w:val="006A531B"/>
    <w:rsid w:val="006C246E"/>
    <w:rsid w:val="006D0D0E"/>
    <w:rsid w:val="006F7693"/>
    <w:rsid w:val="00710140"/>
    <w:rsid w:val="007A7644"/>
    <w:rsid w:val="007F2275"/>
    <w:rsid w:val="00842A25"/>
    <w:rsid w:val="00863B9B"/>
    <w:rsid w:val="008664EF"/>
    <w:rsid w:val="008B7D2E"/>
    <w:rsid w:val="00915F0F"/>
    <w:rsid w:val="009373A6"/>
    <w:rsid w:val="009532DF"/>
    <w:rsid w:val="00965990"/>
    <w:rsid w:val="00997019"/>
    <w:rsid w:val="009A5029"/>
    <w:rsid w:val="009D38D5"/>
    <w:rsid w:val="00A53F26"/>
    <w:rsid w:val="00A64B02"/>
    <w:rsid w:val="00AA00C2"/>
    <w:rsid w:val="00AA0CC5"/>
    <w:rsid w:val="00AC43AC"/>
    <w:rsid w:val="00AF32F5"/>
    <w:rsid w:val="00AF5615"/>
    <w:rsid w:val="00B16AFE"/>
    <w:rsid w:val="00B34B9F"/>
    <w:rsid w:val="00B65DD5"/>
    <w:rsid w:val="00B91486"/>
    <w:rsid w:val="00BD10B6"/>
    <w:rsid w:val="00C06588"/>
    <w:rsid w:val="00C07076"/>
    <w:rsid w:val="00C35EDD"/>
    <w:rsid w:val="00C625D6"/>
    <w:rsid w:val="00C863D1"/>
    <w:rsid w:val="00C93EE3"/>
    <w:rsid w:val="00CB00DF"/>
    <w:rsid w:val="00CC6B5F"/>
    <w:rsid w:val="00CD5AD2"/>
    <w:rsid w:val="00D4291D"/>
    <w:rsid w:val="00D73C72"/>
    <w:rsid w:val="00DA4265"/>
    <w:rsid w:val="00E0592B"/>
    <w:rsid w:val="00E11B10"/>
    <w:rsid w:val="00E27EC9"/>
    <w:rsid w:val="00E31738"/>
    <w:rsid w:val="00E86786"/>
    <w:rsid w:val="00EB61AD"/>
    <w:rsid w:val="00ED2F80"/>
    <w:rsid w:val="00EF42DD"/>
    <w:rsid w:val="00F10E7C"/>
    <w:rsid w:val="00F1624E"/>
    <w:rsid w:val="00F32F8A"/>
    <w:rsid w:val="00F331B0"/>
    <w:rsid w:val="00F810AA"/>
    <w:rsid w:val="00F91A2E"/>
    <w:rsid w:val="00F94E15"/>
    <w:rsid w:val="00FB43EC"/>
    <w:rsid w:val="00FB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18DA5"/>
  <w15:docId w15:val="{6EF91C8A-8E8A-4351-A518-4104453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3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3A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F32F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B23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23BB"/>
    <w:rPr>
      <w:rFonts w:ascii="Calibri" w:eastAsia="宋体" w:hAnsi="Calibr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23B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B23B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B23BB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23B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B23B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陈媚</dc:creator>
  <cp:lastModifiedBy>King &amp; Wood Mallesons</cp:lastModifiedBy>
  <cp:revision>2</cp:revision>
  <cp:lastPrinted>2019-01-29T01:56:00Z</cp:lastPrinted>
  <dcterms:created xsi:type="dcterms:W3CDTF">2019-03-06T09:39:00Z</dcterms:created>
  <dcterms:modified xsi:type="dcterms:W3CDTF">2019-03-06T09:39:00Z</dcterms:modified>
</cp:coreProperties>
</file>