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4C1D" w14:textId="77777777" w:rsidR="00D92E0B" w:rsidRPr="008A3B57" w:rsidRDefault="00D92E0B" w:rsidP="00D92E0B">
      <w:pPr>
        <w:spacing w:line="440" w:lineRule="exact"/>
        <w:jc w:val="center"/>
        <w:rPr>
          <w:b/>
          <w:sz w:val="22"/>
          <w:szCs w:val="22"/>
        </w:rPr>
      </w:pPr>
      <w:r w:rsidRPr="008A3B57">
        <w:rPr>
          <w:b/>
          <w:sz w:val="22"/>
          <w:szCs w:val="22"/>
        </w:rPr>
        <w:t>经营者集中简易案件公示表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605"/>
        <w:gridCol w:w="6095"/>
      </w:tblGrid>
      <w:tr w:rsidR="00D92E0B" w:rsidRPr="009D0A21" w14:paraId="3AE4C0DB" w14:textId="77777777" w:rsidTr="00437327">
        <w:trPr>
          <w:trHeight w:val="312"/>
          <w:jc w:val="center"/>
        </w:trPr>
        <w:tc>
          <w:tcPr>
            <w:tcW w:w="1940" w:type="dxa"/>
            <w:shd w:val="clear" w:color="auto" w:fill="D9D9D9"/>
            <w:vAlign w:val="center"/>
          </w:tcPr>
          <w:p w14:paraId="2A67A637" w14:textId="77777777" w:rsidR="00D92E0B" w:rsidRPr="009D0A21" w:rsidRDefault="00D92E0B" w:rsidP="002D0DAF">
            <w:pPr>
              <w:pStyle w:val="BodyText"/>
              <w:jc w:val="left"/>
              <w:rPr>
                <w:rFonts w:cs="Times New Roman"/>
                <w:sz w:val="22"/>
                <w:szCs w:val="22"/>
                <w:lang w:val="en-US"/>
              </w:rPr>
            </w:pPr>
            <w:r w:rsidRPr="009D0A21">
              <w:rPr>
                <w:rFonts w:cs="Times New Roman"/>
                <w:sz w:val="22"/>
                <w:szCs w:val="22"/>
                <w:lang w:val="en-GB"/>
              </w:rPr>
              <w:t>案件名称</w:t>
            </w:r>
          </w:p>
        </w:tc>
        <w:tc>
          <w:tcPr>
            <w:tcW w:w="7700" w:type="dxa"/>
            <w:gridSpan w:val="2"/>
            <w:shd w:val="clear" w:color="auto" w:fill="auto"/>
          </w:tcPr>
          <w:p w14:paraId="65604FDD" w14:textId="40DB5AFF" w:rsidR="00D92E0B" w:rsidRPr="009D0A21" w:rsidRDefault="006572F1" w:rsidP="00A55681">
            <w:pPr>
              <w:autoSpaceDE w:val="0"/>
              <w:autoSpaceDN w:val="0"/>
              <w:adjustRightInd w:val="0"/>
              <w:rPr>
                <w:rFonts w:asciiTheme="majorBidi" w:hAnsiTheme="majorBidi" w:cstheme="majorBidi"/>
                <w:sz w:val="22"/>
                <w:szCs w:val="22"/>
              </w:rPr>
            </w:pPr>
            <w:r w:rsidRPr="00643137">
              <w:rPr>
                <w:rFonts w:eastAsiaTheme="majorEastAsia" w:hint="eastAsia"/>
                <w:bCs/>
                <w:noProof/>
                <w:sz w:val="22"/>
                <w:szCs w:val="22"/>
              </w:rPr>
              <w:t>北京阳光印易科技有限公司</w:t>
            </w:r>
            <w:r w:rsidR="00643137" w:rsidRPr="00643137">
              <w:rPr>
                <w:rFonts w:eastAsiaTheme="majorEastAsia" w:hint="eastAsia"/>
                <w:bCs/>
                <w:noProof/>
                <w:sz w:val="22"/>
                <w:szCs w:val="22"/>
              </w:rPr>
              <w:t>与</w:t>
            </w:r>
            <w:r w:rsidRPr="00643137">
              <w:rPr>
                <w:rFonts w:eastAsiaTheme="majorEastAsia" w:hint="eastAsia"/>
                <w:bCs/>
                <w:noProof/>
                <w:sz w:val="22"/>
                <w:szCs w:val="22"/>
              </w:rPr>
              <w:t>三井物产株式会社</w:t>
            </w:r>
            <w:r w:rsidR="00643137" w:rsidRPr="00643137">
              <w:rPr>
                <w:rFonts w:eastAsiaTheme="majorEastAsia" w:hint="eastAsia"/>
                <w:bCs/>
                <w:noProof/>
                <w:sz w:val="22"/>
                <w:szCs w:val="22"/>
              </w:rPr>
              <w:t>新设合营企业案</w:t>
            </w:r>
          </w:p>
        </w:tc>
      </w:tr>
      <w:tr w:rsidR="00D92E0B" w:rsidRPr="009D0A21" w14:paraId="6A286E1A" w14:textId="77777777" w:rsidTr="008A3B57">
        <w:trPr>
          <w:trHeight w:val="993"/>
          <w:jc w:val="center"/>
        </w:trPr>
        <w:tc>
          <w:tcPr>
            <w:tcW w:w="1940" w:type="dxa"/>
            <w:shd w:val="clear" w:color="auto" w:fill="D9D9D9"/>
          </w:tcPr>
          <w:p w14:paraId="74C756CA" w14:textId="77777777" w:rsidR="00D92E0B" w:rsidRPr="009D0A21" w:rsidRDefault="00D92E0B" w:rsidP="002D0DAF">
            <w:pPr>
              <w:pStyle w:val="BodyText"/>
              <w:rPr>
                <w:rFonts w:cs="Times New Roman"/>
                <w:sz w:val="22"/>
                <w:szCs w:val="22"/>
                <w:lang w:val="en-US" w:eastAsia="zh-CN"/>
              </w:rPr>
            </w:pPr>
            <w:r w:rsidRPr="009D0A21">
              <w:rPr>
                <w:rFonts w:cs="Times New Roman"/>
                <w:sz w:val="22"/>
                <w:szCs w:val="22"/>
                <w:lang w:val="en-GB" w:eastAsia="zh-CN"/>
              </w:rPr>
              <w:t>交易概况（限</w:t>
            </w:r>
            <w:r w:rsidRPr="009D0A21">
              <w:rPr>
                <w:rFonts w:cs="Times New Roman"/>
                <w:sz w:val="22"/>
                <w:szCs w:val="22"/>
                <w:lang w:val="en-GB" w:eastAsia="zh-CN"/>
              </w:rPr>
              <w:t>200</w:t>
            </w:r>
            <w:r w:rsidRPr="009D0A21">
              <w:rPr>
                <w:rFonts w:cs="Times New Roman"/>
                <w:sz w:val="22"/>
                <w:szCs w:val="22"/>
                <w:lang w:val="en-GB" w:eastAsia="zh-CN"/>
              </w:rPr>
              <w:t>字内）</w:t>
            </w:r>
          </w:p>
        </w:tc>
        <w:tc>
          <w:tcPr>
            <w:tcW w:w="7700" w:type="dxa"/>
            <w:gridSpan w:val="2"/>
            <w:shd w:val="clear" w:color="auto" w:fill="auto"/>
          </w:tcPr>
          <w:p w14:paraId="1E597D4B" w14:textId="42CEBE7B" w:rsidR="00D92E0B" w:rsidRPr="009D0A21" w:rsidRDefault="00643137" w:rsidP="00A55681">
            <w:pPr>
              <w:pStyle w:val="BodyText"/>
              <w:rPr>
                <w:rFonts w:eastAsiaTheme="minorEastAsia"/>
                <w:sz w:val="22"/>
                <w:szCs w:val="22"/>
                <w:lang w:eastAsia="zh-CN"/>
              </w:rPr>
            </w:pPr>
            <w:r w:rsidRPr="00643137">
              <w:rPr>
                <w:rFonts w:eastAsiaTheme="minorEastAsia" w:hint="eastAsia"/>
                <w:kern w:val="2"/>
                <w:sz w:val="22"/>
                <w:szCs w:val="22"/>
                <w:lang w:val="en-US" w:eastAsia="zh-CN" w:bidi="ar-SA"/>
              </w:rPr>
              <w:t>本交易系阳光印易与三井物产分别出资设立合营企业北京阳光阔达供应链管理有限公司（以下简称“合营企业”）。交易完成后，阳光印易将持有合营企业</w:t>
            </w:r>
            <w:r w:rsidRPr="00643137">
              <w:rPr>
                <w:rFonts w:eastAsiaTheme="minorEastAsia" w:hint="eastAsia"/>
                <w:kern w:val="2"/>
                <w:sz w:val="22"/>
                <w:szCs w:val="22"/>
                <w:lang w:val="en-US" w:eastAsia="zh-CN" w:bidi="ar-SA"/>
              </w:rPr>
              <w:t>51%</w:t>
            </w:r>
            <w:r w:rsidRPr="00643137">
              <w:rPr>
                <w:rFonts w:eastAsiaTheme="minorEastAsia" w:hint="eastAsia"/>
                <w:kern w:val="2"/>
                <w:sz w:val="22"/>
                <w:szCs w:val="22"/>
                <w:lang w:val="en-US" w:eastAsia="zh-CN" w:bidi="ar-SA"/>
              </w:rPr>
              <w:t>股权，三井物产将持有合营企业</w:t>
            </w:r>
            <w:r w:rsidRPr="00643137">
              <w:rPr>
                <w:rFonts w:eastAsiaTheme="minorEastAsia" w:hint="eastAsia"/>
                <w:kern w:val="2"/>
                <w:sz w:val="22"/>
                <w:szCs w:val="22"/>
                <w:lang w:val="en-US" w:eastAsia="zh-CN" w:bidi="ar-SA"/>
              </w:rPr>
              <w:t>49%</w:t>
            </w:r>
            <w:r w:rsidRPr="00643137">
              <w:rPr>
                <w:rFonts w:eastAsiaTheme="minorEastAsia" w:hint="eastAsia"/>
                <w:kern w:val="2"/>
                <w:sz w:val="22"/>
                <w:szCs w:val="22"/>
                <w:lang w:val="en-US" w:eastAsia="zh-CN" w:bidi="ar-SA"/>
              </w:rPr>
              <w:t>股权。</w:t>
            </w:r>
          </w:p>
        </w:tc>
      </w:tr>
      <w:tr w:rsidR="003649CB" w:rsidRPr="009D0A21" w14:paraId="27FFF7D4" w14:textId="77777777" w:rsidTr="00054D3D">
        <w:trPr>
          <w:trHeight w:val="722"/>
          <w:jc w:val="center"/>
        </w:trPr>
        <w:tc>
          <w:tcPr>
            <w:tcW w:w="1940" w:type="dxa"/>
            <w:vMerge w:val="restart"/>
            <w:shd w:val="clear" w:color="auto" w:fill="D9D9D9"/>
          </w:tcPr>
          <w:p w14:paraId="2C14BCB4" w14:textId="77777777" w:rsidR="003649CB" w:rsidRPr="009D0A21" w:rsidRDefault="003649CB" w:rsidP="002D0DAF">
            <w:pPr>
              <w:pStyle w:val="BodyText"/>
              <w:rPr>
                <w:rFonts w:cs="Times New Roman"/>
                <w:sz w:val="22"/>
                <w:szCs w:val="22"/>
                <w:lang w:val="en-US" w:eastAsia="zh-CN"/>
              </w:rPr>
            </w:pPr>
            <w:r w:rsidRPr="009D0A21">
              <w:rPr>
                <w:rFonts w:cs="Times New Roman"/>
                <w:sz w:val="22"/>
                <w:szCs w:val="22"/>
                <w:lang w:val="en-GB" w:eastAsia="zh-CN"/>
              </w:rPr>
              <w:t>参与集中的经营者简介</w:t>
            </w:r>
          </w:p>
        </w:tc>
        <w:tc>
          <w:tcPr>
            <w:tcW w:w="1605" w:type="dxa"/>
            <w:shd w:val="clear" w:color="auto" w:fill="auto"/>
          </w:tcPr>
          <w:p w14:paraId="32981664" w14:textId="26AE47BE" w:rsidR="003649CB" w:rsidRPr="009D0A21" w:rsidRDefault="00707D58" w:rsidP="00A55681">
            <w:pPr>
              <w:autoSpaceDE w:val="0"/>
              <w:autoSpaceDN w:val="0"/>
              <w:adjustRightInd w:val="0"/>
              <w:rPr>
                <w:rFonts w:asciiTheme="majorBidi" w:hAnsiTheme="majorBidi" w:cstheme="majorBidi"/>
                <w:sz w:val="22"/>
                <w:szCs w:val="22"/>
              </w:rPr>
            </w:pPr>
            <w:r>
              <w:rPr>
                <w:rFonts w:asciiTheme="majorBidi" w:hAnsiTheme="majorBidi" w:cstheme="majorBidi" w:hint="eastAsia"/>
                <w:sz w:val="22"/>
                <w:szCs w:val="22"/>
              </w:rPr>
              <w:t>阳光印易</w:t>
            </w:r>
          </w:p>
        </w:tc>
        <w:tc>
          <w:tcPr>
            <w:tcW w:w="6095" w:type="dxa"/>
            <w:shd w:val="clear" w:color="auto" w:fill="auto"/>
          </w:tcPr>
          <w:p w14:paraId="7DE3D219" w14:textId="47F40C0E" w:rsidR="003649CB" w:rsidRPr="009D0A21" w:rsidRDefault="00054D3D" w:rsidP="00A55681">
            <w:pPr>
              <w:snapToGrid w:val="0"/>
              <w:rPr>
                <w:rFonts w:asciiTheme="minorEastAsia" w:eastAsiaTheme="minorEastAsia" w:hAnsiTheme="minorEastAsia"/>
                <w:sz w:val="22"/>
                <w:szCs w:val="22"/>
                <w:lang w:val="en-US"/>
              </w:rPr>
            </w:pPr>
            <w:r w:rsidRPr="00054D3D">
              <w:rPr>
                <w:rFonts w:asciiTheme="minorEastAsia" w:eastAsiaTheme="minorEastAsia" w:hAnsiTheme="minorEastAsia" w:hint="eastAsia"/>
                <w:bCs/>
                <w:sz w:val="22"/>
                <w:szCs w:val="22"/>
                <w:lang w:val="en-US"/>
              </w:rPr>
              <w:t>阳光印易在中国主要从事纸张贸易（包括箱板纸和文化纸）、办公用品采购和商务印刷业务。</w:t>
            </w:r>
          </w:p>
        </w:tc>
      </w:tr>
      <w:tr w:rsidR="003649CB" w:rsidRPr="009D0A21" w14:paraId="6D02F31F" w14:textId="77777777" w:rsidTr="008A3B57">
        <w:trPr>
          <w:trHeight w:val="1441"/>
          <w:jc w:val="center"/>
        </w:trPr>
        <w:tc>
          <w:tcPr>
            <w:tcW w:w="1940" w:type="dxa"/>
            <w:vMerge/>
            <w:shd w:val="clear" w:color="auto" w:fill="D9D9D9"/>
          </w:tcPr>
          <w:p w14:paraId="21D3457A" w14:textId="77777777" w:rsidR="003649CB" w:rsidRPr="009D0A21" w:rsidRDefault="003649CB" w:rsidP="002D0DAF">
            <w:pPr>
              <w:pStyle w:val="BodyText"/>
              <w:rPr>
                <w:rFonts w:cs="Times New Roman"/>
                <w:sz w:val="22"/>
                <w:szCs w:val="22"/>
                <w:lang w:val="en-US" w:eastAsia="zh-CN"/>
              </w:rPr>
            </w:pPr>
          </w:p>
        </w:tc>
        <w:tc>
          <w:tcPr>
            <w:tcW w:w="1605" w:type="dxa"/>
            <w:shd w:val="clear" w:color="auto" w:fill="auto"/>
          </w:tcPr>
          <w:p w14:paraId="411D1B68" w14:textId="591A784D" w:rsidR="003649CB" w:rsidRPr="009D0A21" w:rsidRDefault="00707D58" w:rsidP="00A55681">
            <w:pPr>
              <w:autoSpaceDE w:val="0"/>
              <w:autoSpaceDN w:val="0"/>
              <w:adjustRightInd w:val="0"/>
              <w:rPr>
                <w:rFonts w:asciiTheme="majorBidi" w:hAnsiTheme="majorBidi" w:cstheme="majorBidi"/>
                <w:sz w:val="22"/>
                <w:szCs w:val="22"/>
              </w:rPr>
            </w:pPr>
            <w:r>
              <w:rPr>
                <w:rFonts w:asciiTheme="majorBidi" w:hAnsiTheme="majorBidi" w:cstheme="majorBidi" w:hint="eastAsia"/>
                <w:sz w:val="22"/>
                <w:szCs w:val="22"/>
              </w:rPr>
              <w:t>三井物产</w:t>
            </w:r>
          </w:p>
        </w:tc>
        <w:tc>
          <w:tcPr>
            <w:tcW w:w="6095" w:type="dxa"/>
            <w:shd w:val="clear" w:color="auto" w:fill="auto"/>
          </w:tcPr>
          <w:p w14:paraId="625FA9A2" w14:textId="77777777" w:rsidR="003649CB" w:rsidRDefault="00054D3D" w:rsidP="00A55681">
            <w:pPr>
              <w:snapToGrid w:val="0"/>
              <w:rPr>
                <w:rFonts w:asciiTheme="majorBidi" w:hAnsiTheme="majorBidi" w:cstheme="majorBidi"/>
                <w:sz w:val="22"/>
                <w:szCs w:val="22"/>
                <w:lang w:val="en-US"/>
              </w:rPr>
            </w:pPr>
            <w:r w:rsidRPr="00054D3D">
              <w:rPr>
                <w:rFonts w:asciiTheme="majorBidi" w:hAnsiTheme="majorBidi" w:cstheme="majorBidi" w:hint="eastAsia"/>
                <w:sz w:val="22"/>
                <w:szCs w:val="22"/>
                <w:lang w:val="en-US"/>
              </w:rPr>
              <w:t>在钢铁制品、金属资源、基础设施项目、机械与运输系统、化学品、能源、粮食、流通事业、健康护理服务事业、消费者服务事业、</w:t>
            </w:r>
            <w:r w:rsidRPr="00054D3D">
              <w:rPr>
                <w:rFonts w:asciiTheme="majorBidi" w:hAnsiTheme="majorBidi" w:cstheme="majorBidi" w:hint="eastAsia"/>
                <w:sz w:val="22"/>
                <w:szCs w:val="22"/>
                <w:lang w:val="en-US"/>
              </w:rPr>
              <w:t>ICT</w:t>
            </w:r>
            <w:r w:rsidRPr="00054D3D">
              <w:rPr>
                <w:rFonts w:asciiTheme="majorBidi" w:hAnsiTheme="majorBidi" w:cstheme="majorBidi" w:hint="eastAsia"/>
                <w:sz w:val="22"/>
                <w:szCs w:val="22"/>
                <w:lang w:val="en-US"/>
              </w:rPr>
              <w:t>事业、职能开发各个领域，利用其在全球范围内的营业网点和网络、信息能力销售各式各样的商品，并全面开展为此提供支持的物流、金融以及国际基础设施项目等各种业务。</w:t>
            </w:r>
          </w:p>
          <w:p w14:paraId="6FECDDB9" w14:textId="37534B00" w:rsidR="00054D3D" w:rsidRPr="009D0A21" w:rsidRDefault="00054D3D" w:rsidP="00A55681">
            <w:pPr>
              <w:snapToGrid w:val="0"/>
              <w:rPr>
                <w:rFonts w:asciiTheme="majorBidi" w:hAnsiTheme="majorBidi" w:cstheme="majorBidi"/>
                <w:sz w:val="22"/>
                <w:szCs w:val="22"/>
                <w:lang w:val="en-US"/>
              </w:rPr>
            </w:pPr>
            <w:r w:rsidRPr="00054D3D">
              <w:rPr>
                <w:rFonts w:asciiTheme="majorBidi" w:hAnsiTheme="majorBidi" w:cstheme="majorBidi" w:hint="eastAsia"/>
                <w:sz w:val="22"/>
                <w:szCs w:val="22"/>
                <w:lang w:val="en-US"/>
              </w:rPr>
              <w:t>三井物产在中国境内从事的主要业务与全球范围业务相同。</w:t>
            </w:r>
          </w:p>
        </w:tc>
      </w:tr>
      <w:tr w:rsidR="00D92E0B" w:rsidRPr="009D0A21" w14:paraId="0722B00D" w14:textId="77777777" w:rsidTr="008A3B57">
        <w:trPr>
          <w:trHeight w:val="279"/>
          <w:jc w:val="center"/>
        </w:trPr>
        <w:tc>
          <w:tcPr>
            <w:tcW w:w="1940" w:type="dxa"/>
            <w:vMerge w:val="restart"/>
            <w:shd w:val="clear" w:color="auto" w:fill="D9D9D9"/>
          </w:tcPr>
          <w:p w14:paraId="2535E247" w14:textId="77777777" w:rsidR="00D92E0B" w:rsidRPr="009D0A21" w:rsidRDefault="00D92E0B" w:rsidP="002D0DAF">
            <w:pPr>
              <w:pStyle w:val="BodyText"/>
              <w:rPr>
                <w:rFonts w:cs="Times New Roman"/>
                <w:sz w:val="22"/>
                <w:szCs w:val="22"/>
                <w:lang w:val="en-US" w:eastAsia="zh-CN"/>
              </w:rPr>
            </w:pPr>
            <w:r w:rsidRPr="009D0A21">
              <w:rPr>
                <w:rFonts w:cs="Times New Roman"/>
                <w:sz w:val="22"/>
                <w:szCs w:val="22"/>
                <w:lang w:val="en-GB" w:eastAsia="zh-CN"/>
              </w:rPr>
              <w:t>简易案件理由（可以单选，也可以多选）</w:t>
            </w:r>
          </w:p>
        </w:tc>
        <w:tc>
          <w:tcPr>
            <w:tcW w:w="7700" w:type="dxa"/>
            <w:gridSpan w:val="2"/>
            <w:shd w:val="clear" w:color="auto" w:fill="auto"/>
          </w:tcPr>
          <w:p w14:paraId="1F367491" w14:textId="15306A75" w:rsidR="00D92E0B" w:rsidRPr="009D0A21" w:rsidRDefault="00054D3D" w:rsidP="002D0DAF">
            <w:pPr>
              <w:pStyle w:val="BodyText"/>
              <w:rPr>
                <w:rFonts w:cs="Times New Roman"/>
                <w:sz w:val="22"/>
                <w:szCs w:val="22"/>
                <w:lang w:val="en-US" w:eastAsia="zh-CN"/>
              </w:rPr>
            </w:pPr>
            <w:r w:rsidRPr="009D0A21">
              <w:rPr>
                <w:rFonts w:ascii="Wingdings" w:hAnsi="Wingdings"/>
                <w:sz w:val="22"/>
                <w:szCs w:val="22"/>
                <w:lang w:eastAsia="zh-CN"/>
              </w:rPr>
              <w:t></w:t>
            </w:r>
            <w:r w:rsidR="00D92E0B" w:rsidRPr="009D0A21">
              <w:rPr>
                <w:rFonts w:cs="Times New Roman"/>
                <w:sz w:val="22"/>
                <w:szCs w:val="22"/>
                <w:lang w:val="en-GB" w:eastAsia="zh-CN"/>
              </w:rPr>
              <w:t xml:space="preserve"> 1</w:t>
            </w:r>
            <w:r w:rsidR="00D92E0B" w:rsidRPr="009D0A21">
              <w:rPr>
                <w:rFonts w:cs="Times New Roman"/>
                <w:sz w:val="22"/>
                <w:szCs w:val="22"/>
                <w:lang w:val="en-GB" w:eastAsia="zh-CN"/>
              </w:rPr>
              <w:t>、在同一相关市场，所有参与集中的经营者所占市场份额之和小于</w:t>
            </w:r>
            <w:r w:rsidR="00D92E0B" w:rsidRPr="009D0A21">
              <w:rPr>
                <w:rFonts w:cs="Times New Roman"/>
                <w:sz w:val="22"/>
                <w:szCs w:val="22"/>
                <w:lang w:val="en-GB" w:eastAsia="zh-CN"/>
              </w:rPr>
              <w:t>15%</w:t>
            </w:r>
            <w:r w:rsidR="00D92E0B" w:rsidRPr="009D0A21">
              <w:rPr>
                <w:rFonts w:cs="Times New Roman"/>
                <w:sz w:val="22"/>
                <w:szCs w:val="22"/>
                <w:lang w:val="en-GB" w:eastAsia="zh-CN"/>
              </w:rPr>
              <w:t>。</w:t>
            </w:r>
          </w:p>
        </w:tc>
      </w:tr>
      <w:tr w:rsidR="00D92E0B" w:rsidRPr="009D0A21" w14:paraId="6A1E8F43" w14:textId="77777777" w:rsidTr="008A3B57">
        <w:trPr>
          <w:trHeight w:val="330"/>
          <w:jc w:val="center"/>
        </w:trPr>
        <w:tc>
          <w:tcPr>
            <w:tcW w:w="1940" w:type="dxa"/>
            <w:vMerge/>
            <w:shd w:val="clear" w:color="auto" w:fill="D9D9D9"/>
          </w:tcPr>
          <w:p w14:paraId="58C8A03D" w14:textId="77777777" w:rsidR="00D92E0B" w:rsidRPr="009D0A21" w:rsidRDefault="00D92E0B" w:rsidP="002D0DAF">
            <w:pPr>
              <w:pStyle w:val="BodyText"/>
              <w:rPr>
                <w:rFonts w:cs="Times New Roman"/>
                <w:sz w:val="22"/>
                <w:szCs w:val="22"/>
                <w:lang w:val="en-US" w:eastAsia="zh-CN"/>
              </w:rPr>
            </w:pPr>
          </w:p>
        </w:tc>
        <w:tc>
          <w:tcPr>
            <w:tcW w:w="7700" w:type="dxa"/>
            <w:gridSpan w:val="2"/>
            <w:shd w:val="clear" w:color="auto" w:fill="auto"/>
          </w:tcPr>
          <w:p w14:paraId="23B822DF" w14:textId="5AB7EBC9" w:rsidR="00D92E0B" w:rsidRPr="009D0A21" w:rsidRDefault="00054D3D" w:rsidP="002D0DAF">
            <w:pPr>
              <w:pStyle w:val="BodyText"/>
              <w:rPr>
                <w:rFonts w:cs="Times New Roman"/>
                <w:sz w:val="22"/>
                <w:szCs w:val="22"/>
                <w:lang w:val="en-US" w:eastAsia="zh-CN"/>
              </w:rPr>
            </w:pPr>
            <w:r w:rsidRPr="009D0A21">
              <w:rPr>
                <w:rFonts w:ascii="Wingdings" w:hAnsi="Wingdings"/>
                <w:sz w:val="22"/>
                <w:szCs w:val="22"/>
                <w:lang w:eastAsia="zh-CN"/>
              </w:rPr>
              <w:t></w:t>
            </w:r>
            <w:r w:rsidR="00D92E0B" w:rsidRPr="009D0A21">
              <w:rPr>
                <w:rFonts w:cs="Times New Roman" w:hint="eastAsia"/>
                <w:sz w:val="22"/>
                <w:szCs w:val="22"/>
                <w:lang w:val="en-GB" w:eastAsia="zh-CN"/>
              </w:rPr>
              <w:t xml:space="preserve"> </w:t>
            </w:r>
            <w:r w:rsidR="00D92E0B" w:rsidRPr="009D0A21">
              <w:rPr>
                <w:rFonts w:cs="Times New Roman"/>
                <w:sz w:val="22"/>
                <w:szCs w:val="22"/>
                <w:lang w:val="en-GB" w:eastAsia="zh-CN"/>
              </w:rPr>
              <w:t>2</w:t>
            </w:r>
            <w:r w:rsidR="00D92E0B" w:rsidRPr="009D0A21">
              <w:rPr>
                <w:rFonts w:cs="Times New Roman"/>
                <w:sz w:val="22"/>
                <w:szCs w:val="22"/>
                <w:lang w:val="en-GB" w:eastAsia="zh-CN"/>
              </w:rPr>
              <w:t>、存在上下游关系的参与集中的经营者，在上下游市场所占的市场份额均小于</w:t>
            </w:r>
            <w:r w:rsidR="00D92E0B" w:rsidRPr="009D0A21">
              <w:rPr>
                <w:rFonts w:cs="Times New Roman"/>
                <w:sz w:val="22"/>
                <w:szCs w:val="22"/>
                <w:lang w:val="en-GB" w:eastAsia="zh-CN"/>
              </w:rPr>
              <w:t>25%</w:t>
            </w:r>
            <w:r w:rsidR="00D92E0B" w:rsidRPr="009D0A21">
              <w:rPr>
                <w:rFonts w:cs="Times New Roman"/>
                <w:sz w:val="22"/>
                <w:szCs w:val="22"/>
                <w:lang w:val="en-GB" w:eastAsia="zh-CN"/>
              </w:rPr>
              <w:t>。</w:t>
            </w:r>
          </w:p>
        </w:tc>
      </w:tr>
      <w:tr w:rsidR="00D92E0B" w:rsidRPr="009D0A21" w14:paraId="4C8D7BAF" w14:textId="77777777" w:rsidTr="008A3B57">
        <w:trPr>
          <w:trHeight w:val="285"/>
          <w:jc w:val="center"/>
        </w:trPr>
        <w:tc>
          <w:tcPr>
            <w:tcW w:w="1940" w:type="dxa"/>
            <w:vMerge/>
            <w:shd w:val="clear" w:color="auto" w:fill="D9D9D9"/>
          </w:tcPr>
          <w:p w14:paraId="316AFDC5" w14:textId="77777777" w:rsidR="00D92E0B" w:rsidRPr="009D0A21" w:rsidRDefault="00D92E0B" w:rsidP="002D0DAF">
            <w:pPr>
              <w:pStyle w:val="BodyText"/>
              <w:rPr>
                <w:rFonts w:cs="Times New Roman"/>
                <w:sz w:val="22"/>
                <w:szCs w:val="22"/>
                <w:lang w:val="en-US" w:eastAsia="zh-CN"/>
              </w:rPr>
            </w:pPr>
          </w:p>
        </w:tc>
        <w:tc>
          <w:tcPr>
            <w:tcW w:w="7700" w:type="dxa"/>
            <w:gridSpan w:val="2"/>
            <w:shd w:val="clear" w:color="auto" w:fill="auto"/>
          </w:tcPr>
          <w:p w14:paraId="70962EC7" w14:textId="6EE6C8A5" w:rsidR="00D92E0B" w:rsidRPr="009D0A21" w:rsidRDefault="00705E85" w:rsidP="002D0DAF">
            <w:pPr>
              <w:pStyle w:val="BodyText"/>
              <w:rPr>
                <w:rFonts w:cs="Times New Roman"/>
                <w:sz w:val="22"/>
                <w:szCs w:val="22"/>
                <w:lang w:val="en-US" w:eastAsia="zh-CN"/>
              </w:rPr>
            </w:pPr>
            <w:r w:rsidRPr="009D0A21">
              <w:rPr>
                <w:rFonts w:ascii="Wingdings" w:hAnsi="Wingdings"/>
                <w:sz w:val="22"/>
                <w:szCs w:val="22"/>
                <w:lang w:eastAsia="zh-CN"/>
              </w:rPr>
              <w:sym w:font="Wingdings" w:char="F06F"/>
            </w:r>
            <w:r w:rsidR="00D92E0B" w:rsidRPr="009D0A21">
              <w:rPr>
                <w:rFonts w:cs="Times New Roman"/>
                <w:sz w:val="22"/>
                <w:szCs w:val="22"/>
                <w:lang w:val="en-GB" w:eastAsia="zh-CN"/>
              </w:rPr>
              <w:t xml:space="preserve"> 3</w:t>
            </w:r>
            <w:r w:rsidR="00D92E0B" w:rsidRPr="009D0A21">
              <w:rPr>
                <w:rFonts w:cs="Times New Roman"/>
                <w:sz w:val="22"/>
                <w:szCs w:val="22"/>
                <w:lang w:val="en-GB" w:eastAsia="zh-CN"/>
              </w:rPr>
              <w:t>、不在同一相关市场、也不存在上下游关系的参与集中的经营者，在与交易有关的每个市场所占的份额均小于</w:t>
            </w:r>
            <w:r w:rsidR="00D92E0B" w:rsidRPr="009D0A21">
              <w:rPr>
                <w:rFonts w:cs="Times New Roman"/>
                <w:sz w:val="22"/>
                <w:szCs w:val="22"/>
                <w:lang w:val="en-GB" w:eastAsia="zh-CN"/>
              </w:rPr>
              <w:t>25%</w:t>
            </w:r>
            <w:r w:rsidR="00D92E0B" w:rsidRPr="009D0A21">
              <w:rPr>
                <w:rFonts w:cs="Times New Roman"/>
                <w:sz w:val="22"/>
                <w:szCs w:val="22"/>
                <w:lang w:val="en-GB" w:eastAsia="zh-CN"/>
              </w:rPr>
              <w:t>。</w:t>
            </w:r>
          </w:p>
        </w:tc>
      </w:tr>
      <w:tr w:rsidR="00D92E0B" w:rsidRPr="009D0A21" w14:paraId="28478B8F" w14:textId="77777777" w:rsidTr="008A3B57">
        <w:trPr>
          <w:trHeight w:val="870"/>
          <w:jc w:val="center"/>
        </w:trPr>
        <w:tc>
          <w:tcPr>
            <w:tcW w:w="1940" w:type="dxa"/>
            <w:vMerge/>
            <w:shd w:val="clear" w:color="auto" w:fill="D9D9D9"/>
          </w:tcPr>
          <w:p w14:paraId="6ACEB7EC" w14:textId="77777777" w:rsidR="00D92E0B" w:rsidRPr="009D0A21" w:rsidRDefault="00D92E0B" w:rsidP="002D0DAF">
            <w:pPr>
              <w:pStyle w:val="BodyText"/>
              <w:rPr>
                <w:rFonts w:cs="Times New Roman"/>
                <w:sz w:val="22"/>
                <w:szCs w:val="22"/>
                <w:lang w:val="en-US" w:eastAsia="zh-CN"/>
              </w:rPr>
            </w:pPr>
          </w:p>
        </w:tc>
        <w:tc>
          <w:tcPr>
            <w:tcW w:w="7700" w:type="dxa"/>
            <w:gridSpan w:val="2"/>
            <w:shd w:val="clear" w:color="auto" w:fill="auto"/>
          </w:tcPr>
          <w:p w14:paraId="1772C04A" w14:textId="508A494E" w:rsidR="00D92E0B" w:rsidRPr="009D0A21" w:rsidRDefault="00054D3D" w:rsidP="002D0DAF">
            <w:pPr>
              <w:pStyle w:val="BodyText"/>
              <w:rPr>
                <w:rFonts w:cs="Times New Roman"/>
                <w:sz w:val="22"/>
                <w:szCs w:val="22"/>
                <w:lang w:val="en-US" w:eastAsia="zh-CN"/>
              </w:rPr>
            </w:pPr>
            <w:r w:rsidRPr="009D0A21">
              <w:rPr>
                <w:rFonts w:ascii="Wingdings" w:hAnsi="Wingdings"/>
                <w:sz w:val="22"/>
                <w:szCs w:val="22"/>
                <w:lang w:eastAsia="zh-CN"/>
              </w:rPr>
              <w:sym w:font="Wingdings" w:char="F06F"/>
            </w:r>
            <w:r w:rsidR="00D92E0B" w:rsidRPr="009D0A21">
              <w:rPr>
                <w:rFonts w:cs="Times New Roman"/>
                <w:sz w:val="22"/>
                <w:szCs w:val="22"/>
                <w:lang w:val="en-GB" w:eastAsia="zh-CN"/>
              </w:rPr>
              <w:t xml:space="preserve"> 4</w:t>
            </w:r>
            <w:r w:rsidR="00D92E0B" w:rsidRPr="009D0A21">
              <w:rPr>
                <w:rFonts w:cs="Times New Roman"/>
                <w:sz w:val="22"/>
                <w:szCs w:val="22"/>
                <w:lang w:val="en-GB" w:eastAsia="zh-CN"/>
              </w:rPr>
              <w:t>、参与集中的经营者在中国境外设立合营企业，合营企业不在中国境内从事经济活动。</w:t>
            </w:r>
          </w:p>
        </w:tc>
      </w:tr>
      <w:tr w:rsidR="00D92E0B" w:rsidRPr="009D0A21" w14:paraId="1243D2A5" w14:textId="77777777" w:rsidTr="008A3B57">
        <w:trPr>
          <w:trHeight w:val="264"/>
          <w:jc w:val="center"/>
        </w:trPr>
        <w:tc>
          <w:tcPr>
            <w:tcW w:w="1940" w:type="dxa"/>
            <w:vMerge/>
            <w:shd w:val="clear" w:color="auto" w:fill="D9D9D9"/>
          </w:tcPr>
          <w:p w14:paraId="5BC1BB06" w14:textId="77777777" w:rsidR="00D92E0B" w:rsidRPr="009D0A21" w:rsidRDefault="00D92E0B" w:rsidP="002D0DAF">
            <w:pPr>
              <w:pStyle w:val="BodyText"/>
              <w:rPr>
                <w:rFonts w:cs="Times New Roman"/>
                <w:sz w:val="22"/>
                <w:szCs w:val="22"/>
                <w:lang w:val="en-US" w:eastAsia="zh-CN"/>
              </w:rPr>
            </w:pPr>
          </w:p>
        </w:tc>
        <w:tc>
          <w:tcPr>
            <w:tcW w:w="7700" w:type="dxa"/>
            <w:gridSpan w:val="2"/>
            <w:shd w:val="clear" w:color="auto" w:fill="auto"/>
          </w:tcPr>
          <w:p w14:paraId="3230B95C" w14:textId="42CDDE56" w:rsidR="00D92E0B" w:rsidRPr="009D0A21" w:rsidRDefault="009D0A21" w:rsidP="002D0DAF">
            <w:pPr>
              <w:pStyle w:val="BodyText"/>
              <w:rPr>
                <w:rFonts w:cs="Times New Roman"/>
                <w:sz w:val="22"/>
                <w:szCs w:val="22"/>
                <w:lang w:val="en-US" w:eastAsia="zh-CN"/>
              </w:rPr>
            </w:pPr>
            <w:r w:rsidRPr="009D0A21">
              <w:rPr>
                <w:rFonts w:ascii="Wingdings" w:hAnsi="Wingdings"/>
                <w:sz w:val="22"/>
                <w:szCs w:val="22"/>
                <w:lang w:eastAsia="zh-CN"/>
              </w:rPr>
              <w:sym w:font="Wingdings" w:char="F06F"/>
            </w:r>
            <w:r w:rsidR="00D92E0B" w:rsidRPr="009D0A21">
              <w:rPr>
                <w:rFonts w:cs="Times New Roman"/>
                <w:sz w:val="22"/>
                <w:szCs w:val="22"/>
                <w:lang w:val="en-GB" w:eastAsia="zh-CN"/>
              </w:rPr>
              <w:t xml:space="preserve"> 5</w:t>
            </w:r>
            <w:r w:rsidR="00D92E0B" w:rsidRPr="009D0A21">
              <w:rPr>
                <w:rFonts w:cs="Times New Roman"/>
                <w:sz w:val="22"/>
                <w:szCs w:val="22"/>
                <w:lang w:val="en-GB" w:eastAsia="zh-CN"/>
              </w:rPr>
              <w:t>、参与集中的经营者收购境外企业股权或资产的，该境外企业不在中国境内从事经济活动。</w:t>
            </w:r>
          </w:p>
        </w:tc>
      </w:tr>
      <w:tr w:rsidR="00D92E0B" w:rsidRPr="009D0A21" w14:paraId="1E524DB4" w14:textId="77777777" w:rsidTr="008A3B57">
        <w:trPr>
          <w:trHeight w:val="345"/>
          <w:jc w:val="center"/>
        </w:trPr>
        <w:tc>
          <w:tcPr>
            <w:tcW w:w="1940" w:type="dxa"/>
            <w:vMerge/>
            <w:shd w:val="clear" w:color="auto" w:fill="D9D9D9"/>
          </w:tcPr>
          <w:p w14:paraId="4EF4BDB6" w14:textId="77777777" w:rsidR="00D92E0B" w:rsidRPr="009D0A21" w:rsidRDefault="00D92E0B" w:rsidP="002D0DAF">
            <w:pPr>
              <w:pStyle w:val="BodyText"/>
              <w:rPr>
                <w:rFonts w:cs="Times New Roman"/>
                <w:sz w:val="22"/>
                <w:szCs w:val="22"/>
                <w:lang w:val="en-US" w:eastAsia="zh-CN"/>
              </w:rPr>
            </w:pPr>
          </w:p>
        </w:tc>
        <w:tc>
          <w:tcPr>
            <w:tcW w:w="7700" w:type="dxa"/>
            <w:gridSpan w:val="2"/>
            <w:shd w:val="clear" w:color="auto" w:fill="auto"/>
          </w:tcPr>
          <w:p w14:paraId="1E1ECAAF" w14:textId="7F4CB2CC" w:rsidR="00D92E0B" w:rsidRPr="009D0A21" w:rsidRDefault="00705E85" w:rsidP="002D0DAF">
            <w:pPr>
              <w:pStyle w:val="BodyText"/>
              <w:rPr>
                <w:rFonts w:cs="Times New Roman"/>
                <w:sz w:val="22"/>
                <w:szCs w:val="22"/>
                <w:lang w:val="en-US" w:eastAsia="zh-CN"/>
              </w:rPr>
            </w:pPr>
            <w:r w:rsidRPr="009D0A21">
              <w:rPr>
                <w:rFonts w:ascii="Wingdings" w:hAnsi="Wingdings"/>
                <w:sz w:val="22"/>
                <w:szCs w:val="22"/>
                <w:lang w:eastAsia="zh-CN"/>
              </w:rPr>
              <w:sym w:font="Wingdings" w:char="F06F"/>
            </w:r>
            <w:r w:rsidR="00D92E0B" w:rsidRPr="009D0A21">
              <w:rPr>
                <w:rFonts w:cs="Times New Roman"/>
                <w:sz w:val="22"/>
                <w:szCs w:val="22"/>
                <w:lang w:val="en-GB" w:eastAsia="zh-CN"/>
              </w:rPr>
              <w:t xml:space="preserve"> 6</w:t>
            </w:r>
            <w:r w:rsidR="00D92E0B" w:rsidRPr="009D0A21">
              <w:rPr>
                <w:rFonts w:cs="Times New Roman"/>
                <w:sz w:val="22"/>
                <w:szCs w:val="22"/>
                <w:lang w:val="en-GB" w:eastAsia="zh-CN"/>
              </w:rPr>
              <w:t>、由两个以上的经营者共同控制的合营企业，通过集中被其中一个或一个以上经营者控制。</w:t>
            </w:r>
          </w:p>
        </w:tc>
      </w:tr>
      <w:tr w:rsidR="00D92E0B" w:rsidRPr="009D0A21" w14:paraId="4A7E4B3D" w14:textId="77777777" w:rsidTr="008A3B57">
        <w:trPr>
          <w:jc w:val="center"/>
        </w:trPr>
        <w:tc>
          <w:tcPr>
            <w:tcW w:w="1940" w:type="dxa"/>
            <w:shd w:val="clear" w:color="auto" w:fill="D9D9D9"/>
          </w:tcPr>
          <w:p w14:paraId="567BB9B9" w14:textId="77777777" w:rsidR="00D92E0B" w:rsidRPr="009D0A21" w:rsidRDefault="00D92E0B" w:rsidP="002D0DAF">
            <w:pPr>
              <w:pStyle w:val="BodyText"/>
              <w:rPr>
                <w:rFonts w:cs="Times New Roman"/>
                <w:sz w:val="22"/>
                <w:szCs w:val="22"/>
                <w:lang w:val="en-US"/>
              </w:rPr>
            </w:pPr>
            <w:r w:rsidRPr="009D0A21">
              <w:rPr>
                <w:rFonts w:cs="Times New Roman"/>
                <w:sz w:val="22"/>
                <w:szCs w:val="22"/>
                <w:lang w:val="en-GB"/>
              </w:rPr>
              <w:t>备注</w:t>
            </w:r>
          </w:p>
        </w:tc>
        <w:tc>
          <w:tcPr>
            <w:tcW w:w="7700" w:type="dxa"/>
            <w:gridSpan w:val="2"/>
            <w:shd w:val="clear" w:color="auto" w:fill="auto"/>
          </w:tcPr>
          <w:p w14:paraId="24F20A84" w14:textId="77777777" w:rsidR="00F877CB" w:rsidRDefault="00054D3D" w:rsidP="002D0DAF">
            <w:pPr>
              <w:rPr>
                <w:sz w:val="22"/>
                <w:szCs w:val="22"/>
              </w:rPr>
            </w:pPr>
            <w:r>
              <w:rPr>
                <w:rFonts w:hint="eastAsia"/>
                <w:sz w:val="22"/>
                <w:szCs w:val="22"/>
              </w:rPr>
              <w:t>相关市场界定、阳光印易与三井物产在相关市场份额信息如下：</w:t>
            </w:r>
          </w:p>
          <w:p w14:paraId="0204B96F" w14:textId="463FBB3F" w:rsidR="00054D3D" w:rsidRDefault="00054D3D" w:rsidP="001C2343">
            <w:pPr>
              <w:pStyle w:val="ListParagraph"/>
              <w:numPr>
                <w:ilvl w:val="0"/>
                <w:numId w:val="1"/>
              </w:numPr>
              <w:rPr>
                <w:sz w:val="22"/>
                <w:szCs w:val="22"/>
              </w:rPr>
            </w:pPr>
            <w:r w:rsidRPr="001C2343">
              <w:rPr>
                <w:rFonts w:hint="eastAsia"/>
                <w:sz w:val="22"/>
                <w:szCs w:val="22"/>
              </w:rPr>
              <w:t>中国纸张销售市场：</w:t>
            </w:r>
          </w:p>
          <w:p w14:paraId="15FF39CE" w14:textId="4F7724DF" w:rsidR="001C2343" w:rsidRDefault="001C2343" w:rsidP="001C2343">
            <w:pPr>
              <w:pStyle w:val="ListParagraph"/>
              <w:numPr>
                <w:ilvl w:val="1"/>
                <w:numId w:val="1"/>
              </w:numPr>
              <w:rPr>
                <w:sz w:val="22"/>
                <w:szCs w:val="22"/>
              </w:rPr>
            </w:pPr>
            <w:r>
              <w:rPr>
                <w:rFonts w:hint="eastAsia"/>
                <w:sz w:val="22"/>
                <w:szCs w:val="22"/>
              </w:rPr>
              <w:t>阳光印易：</w:t>
            </w:r>
            <w:r>
              <w:rPr>
                <w:rFonts w:hint="eastAsia"/>
                <w:sz w:val="22"/>
                <w:szCs w:val="22"/>
              </w:rPr>
              <w:t>[0-5</w:t>
            </w:r>
            <w:r>
              <w:rPr>
                <w:sz w:val="22"/>
                <w:szCs w:val="22"/>
              </w:rPr>
              <w:t>]</w:t>
            </w:r>
            <w:r>
              <w:rPr>
                <w:rFonts w:hint="eastAsia"/>
                <w:sz w:val="22"/>
                <w:szCs w:val="22"/>
              </w:rPr>
              <w:t>%</w:t>
            </w:r>
          </w:p>
          <w:p w14:paraId="101A6C66" w14:textId="1059A1F0" w:rsidR="001C2343" w:rsidRDefault="001C2343" w:rsidP="001C2343">
            <w:pPr>
              <w:pStyle w:val="ListParagraph"/>
              <w:numPr>
                <w:ilvl w:val="1"/>
                <w:numId w:val="1"/>
              </w:numPr>
              <w:rPr>
                <w:sz w:val="22"/>
                <w:szCs w:val="22"/>
              </w:rPr>
            </w:pPr>
            <w:r w:rsidRPr="00437327">
              <w:rPr>
                <w:rFonts w:hint="eastAsia"/>
                <w:sz w:val="22"/>
                <w:szCs w:val="22"/>
              </w:rPr>
              <w:t>三井物产：</w:t>
            </w:r>
            <w:r w:rsidRPr="00437327">
              <w:rPr>
                <w:rFonts w:hint="eastAsia"/>
                <w:sz w:val="22"/>
                <w:szCs w:val="22"/>
              </w:rPr>
              <w:t>[0-5</w:t>
            </w:r>
            <w:r w:rsidRPr="00437327">
              <w:rPr>
                <w:sz w:val="22"/>
                <w:szCs w:val="22"/>
              </w:rPr>
              <w:t>]</w:t>
            </w:r>
            <w:r w:rsidRPr="00437327">
              <w:rPr>
                <w:rFonts w:hint="eastAsia"/>
                <w:sz w:val="22"/>
                <w:szCs w:val="22"/>
              </w:rPr>
              <w:t>%</w:t>
            </w:r>
          </w:p>
          <w:p w14:paraId="59A6232B" w14:textId="26EB32CE" w:rsidR="00265EE5" w:rsidRDefault="00265EE5" w:rsidP="00265EE5">
            <w:pPr>
              <w:pStyle w:val="ListParagraph"/>
              <w:numPr>
                <w:ilvl w:val="0"/>
                <w:numId w:val="1"/>
              </w:numPr>
              <w:rPr>
                <w:sz w:val="22"/>
                <w:szCs w:val="22"/>
              </w:rPr>
            </w:pPr>
            <w:r>
              <w:rPr>
                <w:rFonts w:hint="eastAsia"/>
                <w:sz w:val="22"/>
                <w:szCs w:val="22"/>
              </w:rPr>
              <w:t>中国文化纸销售市场</w:t>
            </w:r>
            <w:r w:rsidR="006D18DA">
              <w:rPr>
                <w:rFonts w:hint="eastAsia"/>
                <w:sz w:val="22"/>
                <w:szCs w:val="22"/>
              </w:rPr>
              <w:t>：</w:t>
            </w:r>
          </w:p>
          <w:p w14:paraId="509CC537" w14:textId="77777777" w:rsidR="006D18DA" w:rsidRDefault="006D18DA" w:rsidP="006D18DA">
            <w:pPr>
              <w:pStyle w:val="ListParagraph"/>
              <w:numPr>
                <w:ilvl w:val="1"/>
                <w:numId w:val="1"/>
              </w:numPr>
              <w:rPr>
                <w:sz w:val="22"/>
                <w:szCs w:val="22"/>
              </w:rPr>
            </w:pPr>
            <w:r>
              <w:rPr>
                <w:rFonts w:hint="eastAsia"/>
                <w:sz w:val="22"/>
                <w:szCs w:val="22"/>
              </w:rPr>
              <w:t>阳光印易：</w:t>
            </w:r>
            <w:r>
              <w:rPr>
                <w:rFonts w:hint="eastAsia"/>
                <w:sz w:val="22"/>
                <w:szCs w:val="22"/>
              </w:rPr>
              <w:t>[0-5</w:t>
            </w:r>
            <w:r>
              <w:rPr>
                <w:sz w:val="22"/>
                <w:szCs w:val="22"/>
              </w:rPr>
              <w:t>]</w:t>
            </w:r>
            <w:r>
              <w:rPr>
                <w:rFonts w:hint="eastAsia"/>
                <w:sz w:val="22"/>
                <w:szCs w:val="22"/>
              </w:rPr>
              <w:t>%</w:t>
            </w:r>
          </w:p>
          <w:p w14:paraId="747B829F" w14:textId="77777777" w:rsidR="006D18DA" w:rsidRDefault="006D18DA" w:rsidP="006D18DA">
            <w:pPr>
              <w:pStyle w:val="ListParagraph"/>
              <w:numPr>
                <w:ilvl w:val="1"/>
                <w:numId w:val="1"/>
              </w:numPr>
              <w:rPr>
                <w:sz w:val="22"/>
                <w:szCs w:val="22"/>
              </w:rPr>
            </w:pPr>
            <w:r w:rsidRPr="00437327">
              <w:rPr>
                <w:rFonts w:hint="eastAsia"/>
                <w:sz w:val="22"/>
                <w:szCs w:val="22"/>
              </w:rPr>
              <w:t>三井物产：</w:t>
            </w:r>
            <w:r w:rsidRPr="00437327">
              <w:rPr>
                <w:rFonts w:hint="eastAsia"/>
                <w:sz w:val="22"/>
                <w:szCs w:val="22"/>
              </w:rPr>
              <w:t>[0-5</w:t>
            </w:r>
            <w:r w:rsidRPr="00437327">
              <w:rPr>
                <w:sz w:val="22"/>
                <w:szCs w:val="22"/>
              </w:rPr>
              <w:t>]</w:t>
            </w:r>
            <w:r w:rsidRPr="00437327">
              <w:rPr>
                <w:rFonts w:hint="eastAsia"/>
                <w:sz w:val="22"/>
                <w:szCs w:val="22"/>
              </w:rPr>
              <w:t>%</w:t>
            </w:r>
          </w:p>
          <w:p w14:paraId="53A1CD30" w14:textId="5D79771B" w:rsidR="006D18DA" w:rsidRDefault="006D18DA" w:rsidP="00265EE5">
            <w:pPr>
              <w:pStyle w:val="ListParagraph"/>
              <w:numPr>
                <w:ilvl w:val="0"/>
                <w:numId w:val="1"/>
              </w:numPr>
              <w:rPr>
                <w:sz w:val="22"/>
                <w:szCs w:val="22"/>
              </w:rPr>
            </w:pPr>
            <w:r>
              <w:rPr>
                <w:rFonts w:hint="eastAsia"/>
                <w:sz w:val="22"/>
                <w:szCs w:val="22"/>
              </w:rPr>
              <w:t>中国包装纸销售市场：</w:t>
            </w:r>
          </w:p>
          <w:p w14:paraId="0B48E18D" w14:textId="77777777" w:rsidR="006D18DA" w:rsidRDefault="006D18DA" w:rsidP="006D18DA">
            <w:pPr>
              <w:pStyle w:val="ListParagraph"/>
              <w:numPr>
                <w:ilvl w:val="1"/>
                <w:numId w:val="1"/>
              </w:numPr>
              <w:rPr>
                <w:sz w:val="22"/>
                <w:szCs w:val="22"/>
              </w:rPr>
            </w:pPr>
            <w:r>
              <w:rPr>
                <w:rFonts w:hint="eastAsia"/>
                <w:sz w:val="22"/>
                <w:szCs w:val="22"/>
              </w:rPr>
              <w:t>阳光印易：</w:t>
            </w:r>
            <w:r>
              <w:rPr>
                <w:rFonts w:hint="eastAsia"/>
                <w:sz w:val="22"/>
                <w:szCs w:val="22"/>
              </w:rPr>
              <w:t>[0-5</w:t>
            </w:r>
            <w:r>
              <w:rPr>
                <w:sz w:val="22"/>
                <w:szCs w:val="22"/>
              </w:rPr>
              <w:t>]</w:t>
            </w:r>
            <w:r>
              <w:rPr>
                <w:rFonts w:hint="eastAsia"/>
                <w:sz w:val="22"/>
                <w:szCs w:val="22"/>
              </w:rPr>
              <w:t>%</w:t>
            </w:r>
          </w:p>
          <w:p w14:paraId="06018E1B" w14:textId="77777777" w:rsidR="006D18DA" w:rsidRDefault="006D18DA" w:rsidP="006D18DA">
            <w:pPr>
              <w:pStyle w:val="ListParagraph"/>
              <w:numPr>
                <w:ilvl w:val="1"/>
                <w:numId w:val="1"/>
              </w:numPr>
              <w:rPr>
                <w:sz w:val="22"/>
                <w:szCs w:val="22"/>
              </w:rPr>
            </w:pPr>
            <w:r w:rsidRPr="00437327">
              <w:rPr>
                <w:rFonts w:hint="eastAsia"/>
                <w:sz w:val="22"/>
                <w:szCs w:val="22"/>
              </w:rPr>
              <w:t>三井物产：</w:t>
            </w:r>
            <w:r w:rsidRPr="00437327">
              <w:rPr>
                <w:rFonts w:hint="eastAsia"/>
                <w:sz w:val="22"/>
                <w:szCs w:val="22"/>
              </w:rPr>
              <w:t>[0-5</w:t>
            </w:r>
            <w:r w:rsidRPr="00437327">
              <w:rPr>
                <w:sz w:val="22"/>
                <w:szCs w:val="22"/>
              </w:rPr>
              <w:t>]</w:t>
            </w:r>
            <w:r w:rsidRPr="00437327">
              <w:rPr>
                <w:rFonts w:hint="eastAsia"/>
                <w:sz w:val="22"/>
                <w:szCs w:val="22"/>
              </w:rPr>
              <w:t>%</w:t>
            </w:r>
          </w:p>
          <w:p w14:paraId="3DE4D6BC" w14:textId="72DF40F5" w:rsidR="001C2343" w:rsidRDefault="001C2343" w:rsidP="001C2343">
            <w:pPr>
              <w:pStyle w:val="ListParagraph"/>
              <w:numPr>
                <w:ilvl w:val="0"/>
                <w:numId w:val="1"/>
              </w:numPr>
              <w:rPr>
                <w:sz w:val="22"/>
                <w:szCs w:val="22"/>
              </w:rPr>
            </w:pPr>
            <w:bookmarkStart w:id="0" w:name="_GoBack"/>
            <w:bookmarkEnd w:id="0"/>
            <w:r w:rsidRPr="001C2343">
              <w:rPr>
                <w:rFonts w:hint="eastAsia"/>
                <w:sz w:val="22"/>
                <w:szCs w:val="22"/>
              </w:rPr>
              <w:t>北京市及其周边地区</w:t>
            </w:r>
            <w:r w:rsidR="001D5580">
              <w:rPr>
                <w:rFonts w:hint="eastAsia"/>
                <w:sz w:val="22"/>
                <w:szCs w:val="22"/>
              </w:rPr>
              <w:t>（半径</w:t>
            </w:r>
            <w:r w:rsidR="001D5580">
              <w:rPr>
                <w:rFonts w:hint="eastAsia"/>
                <w:sz w:val="22"/>
                <w:szCs w:val="22"/>
              </w:rPr>
              <w:t>200</w:t>
            </w:r>
            <w:r w:rsidR="001D5580">
              <w:rPr>
                <w:rFonts w:hint="eastAsia"/>
                <w:sz w:val="22"/>
                <w:szCs w:val="22"/>
              </w:rPr>
              <w:t>公里）</w:t>
            </w:r>
            <w:r w:rsidRPr="001C2343">
              <w:rPr>
                <w:rFonts w:hint="eastAsia"/>
                <w:sz w:val="22"/>
                <w:szCs w:val="22"/>
              </w:rPr>
              <w:t>的文化纸印刷市场</w:t>
            </w:r>
            <w:r>
              <w:rPr>
                <w:rFonts w:hint="eastAsia"/>
                <w:sz w:val="22"/>
                <w:szCs w:val="22"/>
              </w:rPr>
              <w:t>：</w:t>
            </w:r>
          </w:p>
          <w:p w14:paraId="533D2F58" w14:textId="76B1102C" w:rsidR="001C2343" w:rsidRPr="00437327" w:rsidRDefault="001C2343" w:rsidP="001C2343">
            <w:pPr>
              <w:pStyle w:val="ListParagraph"/>
              <w:numPr>
                <w:ilvl w:val="1"/>
                <w:numId w:val="1"/>
              </w:numPr>
              <w:rPr>
                <w:sz w:val="22"/>
                <w:szCs w:val="22"/>
              </w:rPr>
            </w:pPr>
            <w:r w:rsidRPr="00437327">
              <w:rPr>
                <w:rFonts w:hint="eastAsia"/>
                <w:sz w:val="22"/>
                <w:szCs w:val="22"/>
              </w:rPr>
              <w:lastRenderedPageBreak/>
              <w:t>阳光印易：</w:t>
            </w:r>
            <w:r w:rsidRPr="00437327">
              <w:rPr>
                <w:sz w:val="22"/>
                <w:szCs w:val="22"/>
              </w:rPr>
              <w:t>[</w:t>
            </w:r>
            <w:r w:rsidRPr="00437327">
              <w:rPr>
                <w:rFonts w:hint="eastAsia"/>
                <w:sz w:val="22"/>
                <w:szCs w:val="22"/>
              </w:rPr>
              <w:t>0-5</w:t>
            </w:r>
            <w:r w:rsidRPr="00437327">
              <w:rPr>
                <w:sz w:val="22"/>
                <w:szCs w:val="22"/>
              </w:rPr>
              <w:t>]</w:t>
            </w:r>
            <w:r w:rsidRPr="00437327">
              <w:rPr>
                <w:rFonts w:hint="eastAsia"/>
                <w:sz w:val="22"/>
                <w:szCs w:val="22"/>
              </w:rPr>
              <w:t>%</w:t>
            </w:r>
          </w:p>
          <w:p w14:paraId="5109A616" w14:textId="7D6A58A8" w:rsidR="001C2343" w:rsidRPr="00437327" w:rsidRDefault="00437327" w:rsidP="001C2343">
            <w:pPr>
              <w:pStyle w:val="ListParagraph"/>
              <w:numPr>
                <w:ilvl w:val="0"/>
                <w:numId w:val="1"/>
              </w:numPr>
              <w:rPr>
                <w:sz w:val="22"/>
                <w:szCs w:val="22"/>
              </w:rPr>
            </w:pPr>
            <w:r w:rsidRPr="00437327">
              <w:rPr>
                <w:rFonts w:hint="eastAsia"/>
                <w:bCs/>
                <w:sz w:val="22"/>
                <w:szCs w:val="22"/>
                <w:lang w:val="en-US"/>
              </w:rPr>
              <w:t>大连</w:t>
            </w:r>
            <w:r w:rsidRPr="00437327">
              <w:rPr>
                <w:rFonts w:hint="eastAsia"/>
                <w:bCs/>
                <w:sz w:val="22"/>
                <w:szCs w:val="22"/>
              </w:rPr>
              <w:t>市</w:t>
            </w:r>
            <w:r w:rsidRPr="00437327">
              <w:rPr>
                <w:rFonts w:hint="eastAsia"/>
                <w:bCs/>
                <w:sz w:val="22"/>
                <w:szCs w:val="22"/>
                <w:lang w:val="en-US"/>
              </w:rPr>
              <w:t>及其周边地区</w:t>
            </w:r>
            <w:r w:rsidR="001D5580">
              <w:rPr>
                <w:rFonts w:hint="eastAsia"/>
                <w:sz w:val="22"/>
                <w:szCs w:val="22"/>
              </w:rPr>
              <w:t>（半径</w:t>
            </w:r>
            <w:r w:rsidR="001D5580">
              <w:rPr>
                <w:rFonts w:hint="eastAsia"/>
                <w:sz w:val="22"/>
                <w:szCs w:val="22"/>
              </w:rPr>
              <w:t>200</w:t>
            </w:r>
            <w:r w:rsidR="001D5580">
              <w:rPr>
                <w:rFonts w:hint="eastAsia"/>
                <w:sz w:val="22"/>
                <w:szCs w:val="22"/>
              </w:rPr>
              <w:t>公里）</w:t>
            </w:r>
            <w:r w:rsidRPr="00437327">
              <w:rPr>
                <w:rFonts w:hint="eastAsia"/>
                <w:bCs/>
                <w:sz w:val="22"/>
                <w:szCs w:val="22"/>
                <w:lang w:val="en-US"/>
              </w:rPr>
              <w:t>的瓦楞纸板市场</w:t>
            </w:r>
          </w:p>
          <w:p w14:paraId="658084F9" w14:textId="393CAD0C" w:rsidR="00437327" w:rsidRPr="00437327" w:rsidRDefault="00437327" w:rsidP="00437327">
            <w:pPr>
              <w:pStyle w:val="ListParagraph"/>
              <w:numPr>
                <w:ilvl w:val="1"/>
                <w:numId w:val="1"/>
              </w:numPr>
              <w:rPr>
                <w:sz w:val="22"/>
                <w:szCs w:val="22"/>
              </w:rPr>
            </w:pPr>
            <w:r w:rsidRPr="00437327">
              <w:rPr>
                <w:rFonts w:hint="eastAsia"/>
                <w:sz w:val="22"/>
                <w:szCs w:val="22"/>
              </w:rPr>
              <w:t>三井物产：</w:t>
            </w:r>
            <w:r w:rsidR="00456850">
              <w:rPr>
                <w:rFonts w:hint="eastAsia"/>
                <w:sz w:val="22"/>
                <w:szCs w:val="22"/>
              </w:rPr>
              <w:t>[</w:t>
            </w:r>
            <w:r w:rsidR="00FC5AC5">
              <w:rPr>
                <w:rFonts w:hint="eastAsia"/>
                <w:sz w:val="22"/>
                <w:szCs w:val="22"/>
              </w:rPr>
              <w:t>5-10</w:t>
            </w:r>
            <w:r w:rsidR="00456850">
              <w:rPr>
                <w:sz w:val="22"/>
                <w:szCs w:val="22"/>
              </w:rPr>
              <w:t>]</w:t>
            </w:r>
            <w:r w:rsidR="00FC5AC5">
              <w:rPr>
                <w:rFonts w:hint="eastAsia"/>
                <w:sz w:val="22"/>
                <w:szCs w:val="22"/>
              </w:rPr>
              <w:t>%</w:t>
            </w:r>
          </w:p>
          <w:p w14:paraId="318606DB" w14:textId="7E9A2199" w:rsidR="00437327" w:rsidRPr="00437327" w:rsidRDefault="00437327" w:rsidP="001C2343">
            <w:pPr>
              <w:pStyle w:val="ListParagraph"/>
              <w:numPr>
                <w:ilvl w:val="0"/>
                <w:numId w:val="1"/>
              </w:numPr>
              <w:rPr>
                <w:sz w:val="22"/>
                <w:szCs w:val="22"/>
              </w:rPr>
            </w:pPr>
            <w:r w:rsidRPr="00437327">
              <w:rPr>
                <w:rFonts w:hint="eastAsia"/>
                <w:bCs/>
                <w:sz w:val="22"/>
                <w:szCs w:val="22"/>
                <w:lang w:val="en-US"/>
              </w:rPr>
              <w:t>大连</w:t>
            </w:r>
            <w:r w:rsidRPr="00437327">
              <w:rPr>
                <w:rFonts w:hint="eastAsia"/>
                <w:bCs/>
                <w:sz w:val="22"/>
                <w:szCs w:val="22"/>
              </w:rPr>
              <w:t>市</w:t>
            </w:r>
            <w:r w:rsidRPr="00437327">
              <w:rPr>
                <w:rFonts w:hint="eastAsia"/>
                <w:bCs/>
                <w:sz w:val="22"/>
                <w:szCs w:val="22"/>
                <w:lang w:val="en-US"/>
              </w:rPr>
              <w:t>及其周边地区</w:t>
            </w:r>
            <w:r w:rsidR="001D5580">
              <w:rPr>
                <w:rFonts w:hint="eastAsia"/>
                <w:sz w:val="22"/>
                <w:szCs w:val="22"/>
              </w:rPr>
              <w:t>（半径</w:t>
            </w:r>
            <w:r w:rsidR="001D5580">
              <w:rPr>
                <w:rFonts w:hint="eastAsia"/>
                <w:sz w:val="22"/>
                <w:szCs w:val="22"/>
              </w:rPr>
              <w:t>200</w:t>
            </w:r>
            <w:r w:rsidR="001D5580">
              <w:rPr>
                <w:rFonts w:hint="eastAsia"/>
                <w:sz w:val="22"/>
                <w:szCs w:val="22"/>
              </w:rPr>
              <w:t>公里）</w:t>
            </w:r>
            <w:r w:rsidRPr="00437327">
              <w:rPr>
                <w:rFonts w:hint="eastAsia"/>
                <w:bCs/>
                <w:sz w:val="22"/>
                <w:szCs w:val="22"/>
                <w:lang w:val="en-US"/>
              </w:rPr>
              <w:t>的瓦楞纸箱市场</w:t>
            </w:r>
          </w:p>
          <w:p w14:paraId="117B83DC" w14:textId="67C76AD1" w:rsidR="001C2343" w:rsidRPr="009D0A21" w:rsidRDefault="00437327" w:rsidP="00437327">
            <w:pPr>
              <w:pStyle w:val="ListParagraph"/>
              <w:numPr>
                <w:ilvl w:val="1"/>
                <w:numId w:val="1"/>
              </w:numPr>
              <w:rPr>
                <w:sz w:val="22"/>
                <w:szCs w:val="22"/>
              </w:rPr>
            </w:pPr>
            <w:r>
              <w:rPr>
                <w:rFonts w:hint="eastAsia"/>
                <w:sz w:val="22"/>
                <w:szCs w:val="22"/>
              </w:rPr>
              <w:t>三井物产：</w:t>
            </w:r>
            <w:r w:rsidR="00456850">
              <w:rPr>
                <w:rFonts w:hint="eastAsia"/>
                <w:sz w:val="22"/>
                <w:szCs w:val="22"/>
              </w:rPr>
              <w:t>[</w:t>
            </w:r>
            <w:r w:rsidR="00FC5AC5">
              <w:rPr>
                <w:rFonts w:hint="eastAsia"/>
                <w:sz w:val="22"/>
                <w:szCs w:val="22"/>
              </w:rPr>
              <w:t>5-10</w:t>
            </w:r>
            <w:r w:rsidR="00456850">
              <w:rPr>
                <w:sz w:val="22"/>
                <w:szCs w:val="22"/>
              </w:rPr>
              <w:t>]</w:t>
            </w:r>
            <w:r w:rsidR="00FC5AC5">
              <w:rPr>
                <w:rFonts w:hint="eastAsia"/>
                <w:sz w:val="22"/>
                <w:szCs w:val="22"/>
              </w:rPr>
              <w:t>%</w:t>
            </w:r>
          </w:p>
        </w:tc>
      </w:tr>
    </w:tbl>
    <w:p w14:paraId="7D493896" w14:textId="77777777" w:rsidR="0005110A" w:rsidRPr="008A3B57" w:rsidRDefault="0005110A">
      <w:pPr>
        <w:rPr>
          <w:sz w:val="22"/>
          <w:szCs w:val="22"/>
          <w:lang w:val="x-none"/>
        </w:rPr>
      </w:pPr>
    </w:p>
    <w:sectPr w:rsidR="0005110A" w:rsidRPr="008A3B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762C" w14:textId="77777777" w:rsidR="007A19D7" w:rsidRDefault="007A19D7" w:rsidP="00D92E0B">
      <w:pPr>
        <w:spacing w:after="0"/>
      </w:pPr>
      <w:r>
        <w:separator/>
      </w:r>
    </w:p>
  </w:endnote>
  <w:endnote w:type="continuationSeparator" w:id="0">
    <w:p w14:paraId="141C7C6B" w14:textId="77777777" w:rsidR="007A19D7" w:rsidRDefault="007A19D7" w:rsidP="00D92E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8FF8" w14:textId="77777777" w:rsidR="00314C7A" w:rsidRDefault="00314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30815"/>
      <w:docPartObj>
        <w:docPartGallery w:val="Page Numbers (Bottom of Page)"/>
        <w:docPartUnique/>
      </w:docPartObj>
    </w:sdtPr>
    <w:sdtEndPr>
      <w:rPr>
        <w:noProof/>
        <w:sz w:val="22"/>
      </w:rPr>
    </w:sdtEndPr>
    <w:sdtContent>
      <w:p w14:paraId="194DC1EB" w14:textId="351C0EE0" w:rsidR="008A3B57" w:rsidRPr="008A3B57" w:rsidRDefault="008A3B57">
        <w:pPr>
          <w:pStyle w:val="Footer"/>
          <w:jc w:val="center"/>
          <w:rPr>
            <w:sz w:val="22"/>
          </w:rPr>
        </w:pPr>
        <w:r w:rsidRPr="008A3B57">
          <w:rPr>
            <w:sz w:val="22"/>
          </w:rPr>
          <w:fldChar w:fldCharType="begin"/>
        </w:r>
        <w:r w:rsidRPr="008A3B57">
          <w:rPr>
            <w:sz w:val="22"/>
          </w:rPr>
          <w:instrText xml:space="preserve"> PAGE   \* MERGEFORMAT </w:instrText>
        </w:r>
        <w:r w:rsidRPr="008A3B57">
          <w:rPr>
            <w:sz w:val="22"/>
          </w:rPr>
          <w:fldChar w:fldCharType="separate"/>
        </w:r>
        <w:r w:rsidR="006D18DA">
          <w:rPr>
            <w:noProof/>
            <w:sz w:val="22"/>
          </w:rPr>
          <w:t>2</w:t>
        </w:r>
        <w:r w:rsidRPr="008A3B57">
          <w:rPr>
            <w:noProof/>
            <w:sz w:val="22"/>
          </w:rPr>
          <w:fldChar w:fldCharType="end"/>
        </w:r>
      </w:p>
    </w:sdtContent>
  </w:sdt>
  <w:p w14:paraId="5CB824E5" w14:textId="77777777" w:rsidR="0099230E" w:rsidRDefault="00992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9CD9" w14:textId="77777777" w:rsidR="00314C7A" w:rsidRDefault="0031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483C" w14:textId="77777777" w:rsidR="007A19D7" w:rsidRDefault="007A19D7" w:rsidP="00D92E0B">
      <w:pPr>
        <w:spacing w:after="0"/>
      </w:pPr>
      <w:r>
        <w:separator/>
      </w:r>
    </w:p>
  </w:footnote>
  <w:footnote w:type="continuationSeparator" w:id="0">
    <w:p w14:paraId="5C9DC7E8" w14:textId="77777777" w:rsidR="007A19D7" w:rsidRDefault="007A19D7" w:rsidP="00D92E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AA9D" w14:textId="77777777" w:rsidR="00314C7A" w:rsidRDefault="00314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8C40" w14:textId="77777777" w:rsidR="00314C7A" w:rsidRDefault="00314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5988" w14:textId="77777777" w:rsidR="00314C7A" w:rsidRDefault="0031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54497"/>
    <w:multiLevelType w:val="hybridMultilevel"/>
    <w:tmpl w:val="5D1C918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0B"/>
    <w:rsid w:val="0005110A"/>
    <w:rsid w:val="00054D3D"/>
    <w:rsid w:val="0008652E"/>
    <w:rsid w:val="000A735E"/>
    <w:rsid w:val="000F0CA3"/>
    <w:rsid w:val="001620F1"/>
    <w:rsid w:val="00175559"/>
    <w:rsid w:val="001971B0"/>
    <w:rsid w:val="001C2343"/>
    <w:rsid w:val="001D5580"/>
    <w:rsid w:val="001E7764"/>
    <w:rsid w:val="0024351F"/>
    <w:rsid w:val="00247516"/>
    <w:rsid w:val="00265EE5"/>
    <w:rsid w:val="00277DBB"/>
    <w:rsid w:val="00285558"/>
    <w:rsid w:val="002F1946"/>
    <w:rsid w:val="00314C7A"/>
    <w:rsid w:val="00346D4D"/>
    <w:rsid w:val="00352AEF"/>
    <w:rsid w:val="003649CB"/>
    <w:rsid w:val="003926B2"/>
    <w:rsid w:val="003A28B1"/>
    <w:rsid w:val="0041446C"/>
    <w:rsid w:val="00414923"/>
    <w:rsid w:val="00415F9D"/>
    <w:rsid w:val="00437327"/>
    <w:rsid w:val="00456850"/>
    <w:rsid w:val="0047593C"/>
    <w:rsid w:val="004871BD"/>
    <w:rsid w:val="004E5A46"/>
    <w:rsid w:val="004F0041"/>
    <w:rsid w:val="004F26EC"/>
    <w:rsid w:val="00512A0E"/>
    <w:rsid w:val="00590E68"/>
    <w:rsid w:val="00632655"/>
    <w:rsid w:val="0064168F"/>
    <w:rsid w:val="00643137"/>
    <w:rsid w:val="006450E1"/>
    <w:rsid w:val="006572F1"/>
    <w:rsid w:val="006D18DA"/>
    <w:rsid w:val="006D5A9E"/>
    <w:rsid w:val="00705E85"/>
    <w:rsid w:val="00707D58"/>
    <w:rsid w:val="00721041"/>
    <w:rsid w:val="007472FC"/>
    <w:rsid w:val="007535D1"/>
    <w:rsid w:val="00764DB0"/>
    <w:rsid w:val="0079009C"/>
    <w:rsid w:val="007A19D7"/>
    <w:rsid w:val="007A286A"/>
    <w:rsid w:val="007A47AA"/>
    <w:rsid w:val="008436B7"/>
    <w:rsid w:val="00852A85"/>
    <w:rsid w:val="008562CE"/>
    <w:rsid w:val="008656E0"/>
    <w:rsid w:val="008A3B57"/>
    <w:rsid w:val="008B3E5C"/>
    <w:rsid w:val="009004F6"/>
    <w:rsid w:val="00944E3F"/>
    <w:rsid w:val="00955B7B"/>
    <w:rsid w:val="00966276"/>
    <w:rsid w:val="0099230E"/>
    <w:rsid w:val="00997D0F"/>
    <w:rsid w:val="009D0A21"/>
    <w:rsid w:val="009D60C7"/>
    <w:rsid w:val="00A55681"/>
    <w:rsid w:val="00A766C7"/>
    <w:rsid w:val="00B15B57"/>
    <w:rsid w:val="00B80E6D"/>
    <w:rsid w:val="00B851A0"/>
    <w:rsid w:val="00BB1C36"/>
    <w:rsid w:val="00BC063A"/>
    <w:rsid w:val="00BF6B18"/>
    <w:rsid w:val="00C81B6D"/>
    <w:rsid w:val="00C855C4"/>
    <w:rsid w:val="00CD73F7"/>
    <w:rsid w:val="00D211F6"/>
    <w:rsid w:val="00D458E2"/>
    <w:rsid w:val="00D762FD"/>
    <w:rsid w:val="00D91095"/>
    <w:rsid w:val="00D92E0B"/>
    <w:rsid w:val="00DC05CD"/>
    <w:rsid w:val="00DE21ED"/>
    <w:rsid w:val="00DE297F"/>
    <w:rsid w:val="00E430EF"/>
    <w:rsid w:val="00E44950"/>
    <w:rsid w:val="00E70FDD"/>
    <w:rsid w:val="00E94D11"/>
    <w:rsid w:val="00F4045F"/>
    <w:rsid w:val="00F877CB"/>
    <w:rsid w:val="00F87A63"/>
    <w:rsid w:val="00FA2CD0"/>
    <w:rsid w:val="00FC5AC5"/>
    <w:rsid w:val="00FC7EB3"/>
    <w:rsid w:val="00FD21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7BA744"/>
  <w15:chartTrackingRefBased/>
  <w15:docId w15:val="{C3D8D51E-6C01-4FCF-9F8E-BF7623C1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E0B"/>
    <w:pPr>
      <w:spacing w:after="240" w:line="240" w:lineRule="auto"/>
      <w:jc w:val="both"/>
    </w:pPr>
    <w:rPr>
      <w:rFonts w:ascii="Times New Roman" w:eastAsia="宋体" w:hAnsi="Times New Roman" w:cs="Times New Roman"/>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E0B"/>
    <w:pPr>
      <w:tabs>
        <w:tab w:val="center" w:pos="4153"/>
        <w:tab w:val="right" w:pos="8306"/>
      </w:tabs>
      <w:spacing w:after="0"/>
      <w:jc w:val="left"/>
    </w:pPr>
    <w:rPr>
      <w:rFonts w:asciiTheme="minorHAnsi" w:eastAsiaTheme="minorEastAsia" w:hAnsiTheme="minorHAnsi" w:cstheme="minorBidi"/>
      <w:sz w:val="22"/>
      <w:szCs w:val="22"/>
      <w:lang w:bidi="ar-SA"/>
    </w:rPr>
  </w:style>
  <w:style w:type="character" w:customStyle="1" w:styleId="HeaderChar">
    <w:name w:val="Header Char"/>
    <w:basedOn w:val="DefaultParagraphFont"/>
    <w:link w:val="Header"/>
    <w:uiPriority w:val="99"/>
    <w:rsid w:val="00D92E0B"/>
  </w:style>
  <w:style w:type="paragraph" w:styleId="Footer">
    <w:name w:val="footer"/>
    <w:basedOn w:val="Normal"/>
    <w:link w:val="FooterChar"/>
    <w:uiPriority w:val="99"/>
    <w:unhideWhenUsed/>
    <w:rsid w:val="00D92E0B"/>
    <w:pPr>
      <w:tabs>
        <w:tab w:val="center" w:pos="4153"/>
        <w:tab w:val="right" w:pos="8306"/>
      </w:tabs>
      <w:spacing w:after="0"/>
      <w:jc w:val="left"/>
    </w:pPr>
    <w:rPr>
      <w:rFonts w:eastAsiaTheme="minorEastAsia"/>
      <w:sz w:val="16"/>
      <w:szCs w:val="22"/>
      <w:lang w:bidi="ar-SA"/>
    </w:rPr>
  </w:style>
  <w:style w:type="character" w:customStyle="1" w:styleId="FooterChar">
    <w:name w:val="Footer Char"/>
    <w:basedOn w:val="DefaultParagraphFont"/>
    <w:link w:val="Footer"/>
    <w:uiPriority w:val="99"/>
    <w:rsid w:val="00D92E0B"/>
    <w:rPr>
      <w:rFonts w:ascii="Times New Roman" w:hAnsi="Times New Roman" w:cs="Times New Roman"/>
      <w:sz w:val="16"/>
    </w:rPr>
  </w:style>
  <w:style w:type="paragraph" w:styleId="BodyText">
    <w:name w:val="Body Text"/>
    <w:basedOn w:val="Normal"/>
    <w:link w:val="BodyTextChar"/>
    <w:rsid w:val="00D92E0B"/>
    <w:rPr>
      <w:rFonts w:cs="Simplified Arabic"/>
      <w:lang w:val="x-none" w:eastAsia="en-GB"/>
    </w:rPr>
  </w:style>
  <w:style w:type="character" w:customStyle="1" w:styleId="BodyTextChar">
    <w:name w:val="Body Text Char"/>
    <w:basedOn w:val="DefaultParagraphFont"/>
    <w:link w:val="BodyText"/>
    <w:rsid w:val="00D92E0B"/>
    <w:rPr>
      <w:rFonts w:ascii="Times New Roman" w:eastAsia="宋体" w:hAnsi="Times New Roman" w:cs="Simplified Arabic"/>
      <w:sz w:val="24"/>
      <w:szCs w:val="24"/>
      <w:lang w:val="x-none" w:eastAsia="en-GB" w:bidi="ar-AE"/>
    </w:rPr>
  </w:style>
  <w:style w:type="character" w:styleId="PageNumber">
    <w:name w:val="page number"/>
    <w:basedOn w:val="DefaultParagraphFont"/>
    <w:uiPriority w:val="99"/>
    <w:semiHidden/>
    <w:unhideWhenUsed/>
    <w:rsid w:val="00852A85"/>
    <w:rPr>
      <w:rFonts w:ascii="Times New Roman" w:hAnsi="Times New Roman" w:cs="Times New Roman"/>
      <w:b w:val="0"/>
      <w:sz w:val="24"/>
    </w:rPr>
  </w:style>
  <w:style w:type="paragraph" w:customStyle="1" w:styleId="FooterRight">
    <w:name w:val="Footer Right"/>
    <w:basedOn w:val="Footer"/>
    <w:link w:val="FooterRightChar"/>
    <w:rsid w:val="00852A85"/>
    <w:pPr>
      <w:spacing w:line="440" w:lineRule="exact"/>
      <w:jc w:val="right"/>
    </w:pPr>
    <w:rPr>
      <w:szCs w:val="28"/>
    </w:rPr>
  </w:style>
  <w:style w:type="character" w:customStyle="1" w:styleId="FooterRightChar">
    <w:name w:val="Footer Right Char"/>
    <w:basedOn w:val="DefaultParagraphFont"/>
    <w:link w:val="FooterRight"/>
    <w:rsid w:val="00852A85"/>
    <w:rPr>
      <w:rFonts w:ascii="Times New Roman" w:hAnsi="Times New Roman" w:cs="Times New Roman"/>
      <w:sz w:val="16"/>
      <w:szCs w:val="28"/>
    </w:rPr>
  </w:style>
  <w:style w:type="character" w:styleId="Hyperlink">
    <w:name w:val="Hyperlink"/>
    <w:rsid w:val="007535D1"/>
    <w:rPr>
      <w:color w:val="0000FF"/>
      <w:u w:val="single"/>
    </w:rPr>
  </w:style>
  <w:style w:type="character" w:styleId="UnresolvedMention">
    <w:name w:val="Unresolved Mention"/>
    <w:basedOn w:val="DefaultParagraphFont"/>
    <w:uiPriority w:val="99"/>
    <w:semiHidden/>
    <w:unhideWhenUsed/>
    <w:rsid w:val="0064168F"/>
    <w:rPr>
      <w:color w:val="808080"/>
      <w:shd w:val="clear" w:color="auto" w:fill="E6E6E6"/>
    </w:rPr>
  </w:style>
  <w:style w:type="paragraph" w:styleId="FootnoteText">
    <w:name w:val="footnote text"/>
    <w:aliases w:val="Car,fn,Footnote Text Char Car,ALTS FOOTNOTE,Mod-Footnote Text,ALTS FOOTNOTE Char,Footnote Text Char1 Char,Footnote Text Char Char1 Char,ft Char Char Char,Footnote Text Char3 Char Char Char,Texto nota pie Car,Char Char,F,f,footnote text1"/>
    <w:basedOn w:val="Normal"/>
    <w:link w:val="FootnoteTextChar"/>
    <w:uiPriority w:val="99"/>
    <w:qFormat/>
    <w:rsid w:val="003649CB"/>
    <w:pPr>
      <w:widowControl w:val="0"/>
      <w:snapToGrid w:val="0"/>
      <w:spacing w:after="0"/>
      <w:jc w:val="left"/>
    </w:pPr>
    <w:rPr>
      <w:rFonts w:ascii="Calibri" w:hAnsi="Calibri"/>
      <w:kern w:val="2"/>
      <w:sz w:val="18"/>
      <w:szCs w:val="18"/>
      <w:lang w:val="en-US" w:bidi="ar-SA"/>
    </w:rPr>
  </w:style>
  <w:style w:type="character" w:customStyle="1" w:styleId="FootnoteTextChar">
    <w:name w:val="Footnote Text Char"/>
    <w:aliases w:val="Car Char,fn Char,Footnote Text Char Car Char,ALTS FOOTNOTE Char1,Mod-Footnote Text Char,ALTS FOOTNOTE Char Char,Footnote Text Char1 Char Char,Footnote Text Char Char1 Char Char,ft Char Char Char Char,Texto nota pie Car Char,F Char"/>
    <w:basedOn w:val="DefaultParagraphFont"/>
    <w:link w:val="FootnoteText"/>
    <w:uiPriority w:val="99"/>
    <w:rsid w:val="003649CB"/>
    <w:rPr>
      <w:rFonts w:ascii="Calibri" w:eastAsia="宋体" w:hAnsi="Calibri" w:cs="Times New Roman"/>
      <w:kern w:val="2"/>
      <w:sz w:val="18"/>
      <w:szCs w:val="18"/>
      <w:lang w:val="en-US"/>
    </w:rPr>
  </w:style>
  <w:style w:type="character" w:styleId="FootnoteReference">
    <w:name w:val="footnote reference"/>
    <w:aliases w:val="-E Fußnotenzeichen,(NECG) Footnote Reference,fr,o,FC,Style 3,Appel note de bas de p,Style 17,FR,Style 13,Style 12,Style 124,callout,-E Funotenzeichen,Style 1,Footnote symbol,Footnote,Ref,de nota al pie,Style 4,BVI fnr,SUPE"/>
    <w:basedOn w:val="DefaultParagraphFont"/>
    <w:uiPriority w:val="99"/>
    <w:rsid w:val="003649CB"/>
    <w:rPr>
      <w:vertAlign w:val="superscript"/>
    </w:rPr>
  </w:style>
  <w:style w:type="paragraph" w:styleId="ListParagraph">
    <w:name w:val="List Paragraph"/>
    <w:basedOn w:val="Normal"/>
    <w:uiPriority w:val="34"/>
    <w:qFormat/>
    <w:rsid w:val="001C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DaHui Lawyers</cp:lastModifiedBy>
  <cp:revision>4</cp:revision>
  <dcterms:created xsi:type="dcterms:W3CDTF">2019-01-31T08:44:00Z</dcterms:created>
  <dcterms:modified xsi:type="dcterms:W3CDTF">2019-03-04T03:48:00Z</dcterms:modified>
</cp:coreProperties>
</file>