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95" w:rsidRPr="007A6E43" w:rsidRDefault="00094095" w:rsidP="00094095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</w:p>
    <w:p w:rsidR="00094095" w:rsidRPr="007A6E43" w:rsidRDefault="00094095" w:rsidP="00094095">
      <w:pPr>
        <w:spacing w:line="440" w:lineRule="exact"/>
        <w:jc w:val="center"/>
        <w:rPr>
          <w:rFonts w:ascii="Times New Roman" w:eastAsia="黑体" w:hAnsi="Times New Roman"/>
          <w:sz w:val="30"/>
          <w:szCs w:val="30"/>
        </w:rPr>
      </w:pPr>
      <w:r w:rsidRPr="007A6E43">
        <w:rPr>
          <w:rFonts w:ascii="Times New Roman" w:eastAsia="黑体" w:hAnsi="Times New Roman"/>
          <w:sz w:val="30"/>
          <w:szCs w:val="30"/>
        </w:rPr>
        <w:t>经营者集中简易案件公示表</w:t>
      </w:r>
    </w:p>
    <w:p w:rsidR="00094095" w:rsidRPr="007A6E43" w:rsidRDefault="00094095" w:rsidP="00094095">
      <w:pPr>
        <w:spacing w:line="440" w:lineRule="exact"/>
        <w:rPr>
          <w:rFonts w:ascii="Times New Roman" w:eastAsia="黑体" w:hAnsi="Times New Roman"/>
          <w:sz w:val="28"/>
          <w:szCs w:val="28"/>
        </w:rPr>
      </w:pPr>
    </w:p>
    <w:p w:rsidR="00094095" w:rsidRPr="007A6E43" w:rsidRDefault="00094095" w:rsidP="00094095">
      <w:pPr>
        <w:spacing w:line="440" w:lineRule="exact"/>
        <w:ind w:firstLineChars="302" w:firstLine="846"/>
        <w:rPr>
          <w:rFonts w:ascii="Times New Roman" w:eastAsia="仿宋_GB2312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094095" w:rsidRPr="007A6E43" w:rsidTr="002F2D60">
        <w:tc>
          <w:tcPr>
            <w:tcW w:w="1809" w:type="dxa"/>
            <w:shd w:val="clear" w:color="auto" w:fill="D9D9D9"/>
          </w:tcPr>
          <w:p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案件名称</w:t>
            </w:r>
          </w:p>
        </w:tc>
        <w:tc>
          <w:tcPr>
            <w:tcW w:w="6949" w:type="dxa"/>
            <w:gridSpan w:val="2"/>
          </w:tcPr>
          <w:p w:rsidR="00094095" w:rsidRPr="007A6E43" w:rsidRDefault="00A63DA3" w:rsidP="00A63DA3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A63DA3">
              <w:rPr>
                <w:rFonts w:ascii="Times New Roman" w:eastAsia="仿宋_GB2312" w:hAnsi="Times New Roman"/>
                <w:sz w:val="28"/>
                <w:szCs w:val="28"/>
              </w:rPr>
              <w:t>中信资本控股有限公司和方源资本托盘租赁控股有限公司收购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招商</w:t>
            </w:r>
            <w:r w:rsidRPr="00A63DA3">
              <w:rPr>
                <w:rFonts w:ascii="Times New Roman" w:eastAsia="仿宋_GB2312" w:hAnsi="Times New Roman"/>
                <w:sz w:val="28"/>
                <w:szCs w:val="28"/>
              </w:rPr>
              <w:t>路凯国际控股有限公司股权案</w:t>
            </w:r>
          </w:p>
        </w:tc>
      </w:tr>
      <w:tr w:rsidR="00094095" w:rsidRPr="007A6E43" w:rsidTr="002F2D60">
        <w:trPr>
          <w:trHeight w:val="993"/>
        </w:trPr>
        <w:tc>
          <w:tcPr>
            <w:tcW w:w="1809" w:type="dxa"/>
            <w:shd w:val="clear" w:color="auto" w:fill="D9D9D9"/>
          </w:tcPr>
          <w:p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交易概况（限</w:t>
            </w: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字内）</w:t>
            </w:r>
          </w:p>
        </w:tc>
        <w:tc>
          <w:tcPr>
            <w:tcW w:w="6949" w:type="dxa"/>
            <w:gridSpan w:val="2"/>
          </w:tcPr>
          <w:p w:rsidR="00094095" w:rsidRPr="007A6E43" w:rsidRDefault="00A63DA3" w:rsidP="00A63DA3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中信资本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控股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有限公司（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“</w:t>
            </w:r>
            <w:r w:rsidRPr="00A63DA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中信</w:t>
            </w:r>
            <w:r w:rsidRPr="00A63DA3">
              <w:rPr>
                <w:rFonts w:ascii="Times New Roman" w:eastAsia="仿宋_GB2312" w:hAnsi="Times New Roman"/>
                <w:b/>
                <w:sz w:val="28"/>
                <w:szCs w:val="28"/>
              </w:rPr>
              <w:t>资本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（拟通过中信资本曼努尔控股公司）和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方源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资本托盘租赁控股有限公司（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方源托盘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控股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拟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与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招商局船务企业有限公司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（“</w:t>
            </w:r>
            <w:r w:rsidRPr="00A63DA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招商局船务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”）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签署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《股份购买协议》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，从招商局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船务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收购招商路凯国际控股有限公司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 w:rsidRPr="00A63DA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路凯国际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分别为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33%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和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22%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的股权。</w:t>
            </w:r>
          </w:p>
        </w:tc>
      </w:tr>
      <w:tr w:rsidR="00094095" w:rsidRPr="007A6E43" w:rsidTr="002F2D60">
        <w:trPr>
          <w:trHeight w:val="468"/>
        </w:trPr>
        <w:tc>
          <w:tcPr>
            <w:tcW w:w="1809" w:type="dxa"/>
            <w:vMerge w:val="restart"/>
            <w:shd w:val="clear" w:color="auto" w:fill="D9D9D9"/>
          </w:tcPr>
          <w:p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参与集中的经营者简介</w:t>
            </w:r>
          </w:p>
        </w:tc>
        <w:tc>
          <w:tcPr>
            <w:tcW w:w="1796" w:type="dxa"/>
          </w:tcPr>
          <w:p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、</w:t>
            </w:r>
            <w:r w:rsidR="00A63DA3">
              <w:rPr>
                <w:rFonts w:ascii="Times New Roman" w:eastAsia="仿宋_GB2312" w:hAnsi="Times New Roman" w:hint="eastAsia"/>
                <w:sz w:val="28"/>
                <w:szCs w:val="28"/>
              </w:rPr>
              <w:t>中信</w:t>
            </w:r>
            <w:r w:rsidR="00A63DA3">
              <w:rPr>
                <w:rFonts w:ascii="Times New Roman" w:eastAsia="仿宋_GB2312" w:hAnsi="Times New Roman"/>
                <w:sz w:val="28"/>
                <w:szCs w:val="28"/>
              </w:rPr>
              <w:t>资本</w:t>
            </w:r>
          </w:p>
        </w:tc>
        <w:tc>
          <w:tcPr>
            <w:tcW w:w="5153" w:type="dxa"/>
          </w:tcPr>
          <w:p w:rsidR="00094095" w:rsidRPr="007A6E43" w:rsidRDefault="00A63DA3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中信资本是一家主攻另类投资的投资管理及顾问公司，主要业务包括私募股权投资、不动产投资、结构融资及资产管理，为多样化的国际机构投资者管理总额超过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220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亿美元的资产。中信资本现有员工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280</w:t>
            </w: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多名，在香港、上海、北京、深圳、东京和纽约等地设有子公司或办事处。</w:t>
            </w:r>
          </w:p>
        </w:tc>
      </w:tr>
      <w:tr w:rsidR="00094095" w:rsidRPr="007A6E43" w:rsidTr="002F2D60">
        <w:trPr>
          <w:trHeight w:val="404"/>
        </w:trPr>
        <w:tc>
          <w:tcPr>
            <w:tcW w:w="1809" w:type="dxa"/>
            <w:vMerge/>
            <w:shd w:val="clear" w:color="auto" w:fill="D9D9D9"/>
          </w:tcPr>
          <w:p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、</w:t>
            </w:r>
            <w:r w:rsidR="00A63DA3">
              <w:rPr>
                <w:rFonts w:ascii="Times New Roman" w:eastAsia="仿宋_GB2312" w:hAnsi="Times New Roman" w:hint="eastAsia"/>
                <w:sz w:val="28"/>
                <w:szCs w:val="28"/>
              </w:rPr>
              <w:t>方源</w:t>
            </w:r>
            <w:r w:rsidR="00A63DA3">
              <w:rPr>
                <w:rFonts w:ascii="Times New Roman" w:eastAsia="仿宋_GB2312" w:hAnsi="Times New Roman"/>
                <w:sz w:val="28"/>
                <w:szCs w:val="28"/>
              </w:rPr>
              <w:t>托盘控股</w:t>
            </w:r>
          </w:p>
        </w:tc>
        <w:tc>
          <w:tcPr>
            <w:tcW w:w="5153" w:type="dxa"/>
          </w:tcPr>
          <w:p w:rsidR="00094095" w:rsidRPr="007A6E43" w:rsidRDefault="00A63DA3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63DA3">
              <w:rPr>
                <w:rFonts w:ascii="Times New Roman" w:eastAsia="仿宋_GB2312" w:hAnsi="Times New Roman" w:hint="eastAsia"/>
                <w:sz w:val="28"/>
                <w:szCs w:val="28"/>
              </w:rPr>
              <w:t>从事投资管理业务。</w:t>
            </w:r>
          </w:p>
        </w:tc>
      </w:tr>
      <w:tr w:rsidR="00094095" w:rsidRPr="007A6E43" w:rsidTr="002F2D60">
        <w:trPr>
          <w:trHeight w:val="404"/>
        </w:trPr>
        <w:tc>
          <w:tcPr>
            <w:tcW w:w="1809" w:type="dxa"/>
            <w:vMerge/>
            <w:shd w:val="clear" w:color="auto" w:fill="D9D9D9"/>
          </w:tcPr>
          <w:p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94095" w:rsidRPr="007A6E43" w:rsidRDefault="00C96B80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、</w:t>
            </w:r>
            <w:r w:rsidR="00477190">
              <w:rPr>
                <w:rFonts w:ascii="Times New Roman" w:eastAsia="仿宋_GB2312" w:hAnsi="Times New Roman" w:hint="eastAsia"/>
                <w:sz w:val="28"/>
                <w:szCs w:val="28"/>
              </w:rPr>
              <w:t>招商局</w:t>
            </w:r>
            <w:r w:rsidR="00477190">
              <w:rPr>
                <w:rFonts w:ascii="Times New Roman" w:eastAsia="仿宋_GB2312" w:hAnsi="Times New Roman"/>
                <w:sz w:val="28"/>
                <w:szCs w:val="28"/>
              </w:rPr>
              <w:t>船务</w:t>
            </w:r>
          </w:p>
        </w:tc>
        <w:tc>
          <w:tcPr>
            <w:tcW w:w="5153" w:type="dxa"/>
          </w:tcPr>
          <w:p w:rsidR="00094095" w:rsidRPr="007A6E43" w:rsidRDefault="00477190" w:rsidP="00A63DA3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7190">
              <w:rPr>
                <w:rFonts w:ascii="Times New Roman" w:eastAsia="仿宋_GB2312" w:hAnsi="Times New Roman" w:hint="eastAsia"/>
                <w:sz w:val="28"/>
                <w:szCs w:val="28"/>
              </w:rPr>
              <w:t>招商局船务主要经营船务代理、货物代理、物流仓储以及客运代理等业务。</w:t>
            </w:r>
          </w:p>
        </w:tc>
      </w:tr>
      <w:tr w:rsidR="00094095" w:rsidRPr="007A6E43" w:rsidTr="002F2D60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:rsidR="00094095" w:rsidRPr="007A6E43" w:rsidRDefault="00094095" w:rsidP="00BB237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简易案件理由（</w:t>
            </w:r>
            <w:r w:rsidR="005F167B" w:rsidRPr="007A6E43">
              <w:rPr>
                <w:rFonts w:ascii="Times New Roman" w:eastAsia="仿宋_GB2312" w:hAnsi="Times New Roman"/>
                <w:sz w:val="28"/>
                <w:szCs w:val="28"/>
              </w:rPr>
              <w:t>可以单选，也可以多</w:t>
            </w:r>
            <w:r w:rsidR="005F167B" w:rsidRPr="007A6E43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选</w:t>
            </w: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  <w:tc>
          <w:tcPr>
            <w:tcW w:w="6949" w:type="dxa"/>
            <w:gridSpan w:val="2"/>
          </w:tcPr>
          <w:p w:rsidR="00094095" w:rsidRPr="007A6E43" w:rsidRDefault="00A63DA3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□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、在同一相关市场，所有参与集中的经营者所占市场份额之和小于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15%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  <w:tr w:rsidR="00094095" w:rsidRPr="007A6E43" w:rsidTr="002F2D60">
        <w:trPr>
          <w:trHeight w:val="330"/>
        </w:trPr>
        <w:tc>
          <w:tcPr>
            <w:tcW w:w="1809" w:type="dxa"/>
            <w:vMerge/>
            <w:shd w:val="clear" w:color="auto" w:fill="D9D9D9"/>
          </w:tcPr>
          <w:p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7A6E43" w:rsidRDefault="00477190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、存在上下游关系的参与集中的经营者，在上下游市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场所占的市场份额均小于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25%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  <w:tr w:rsidR="00094095" w:rsidRPr="007A6E43" w:rsidTr="002F2D60">
        <w:trPr>
          <w:trHeight w:val="285"/>
        </w:trPr>
        <w:tc>
          <w:tcPr>
            <w:tcW w:w="1809" w:type="dxa"/>
            <w:vMerge/>
            <w:shd w:val="clear" w:color="auto" w:fill="D9D9D9"/>
          </w:tcPr>
          <w:p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7A6E43" w:rsidRDefault="00477190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sym w:font="Wingdings" w:char="F0FE"/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、不在同一相关市场、也不存在上下游关系的参与集中的经营者，在与交易有关的每个市场所占的份额均小于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25%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  <w:tr w:rsidR="00094095" w:rsidRPr="007A6E43" w:rsidTr="002F2D60">
        <w:trPr>
          <w:trHeight w:val="870"/>
        </w:trPr>
        <w:tc>
          <w:tcPr>
            <w:tcW w:w="1809" w:type="dxa"/>
            <w:vMerge/>
            <w:shd w:val="clear" w:color="auto" w:fill="D9D9D9"/>
          </w:tcPr>
          <w:p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7A6E43" w:rsidRDefault="007A6E43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、参与集中的经营者在中国境外设立合营企业，合营企业不在中国境内从事经济活动。</w:t>
            </w:r>
          </w:p>
        </w:tc>
      </w:tr>
      <w:tr w:rsidR="00094095" w:rsidRPr="007A6E43" w:rsidTr="002F2D60">
        <w:trPr>
          <w:trHeight w:val="264"/>
        </w:trPr>
        <w:tc>
          <w:tcPr>
            <w:tcW w:w="1809" w:type="dxa"/>
            <w:vMerge/>
            <w:shd w:val="clear" w:color="auto" w:fill="D9D9D9"/>
          </w:tcPr>
          <w:p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7A6E43" w:rsidRDefault="007A6E43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、参与集中的经营者收购境外企业股权或资产的，该境外企业不在中国境内从事经济活动。</w:t>
            </w:r>
          </w:p>
        </w:tc>
      </w:tr>
      <w:tr w:rsidR="00094095" w:rsidRPr="007A6E43" w:rsidTr="002F2D60">
        <w:trPr>
          <w:trHeight w:val="345"/>
        </w:trPr>
        <w:tc>
          <w:tcPr>
            <w:tcW w:w="1809" w:type="dxa"/>
            <w:vMerge/>
            <w:shd w:val="clear" w:color="auto" w:fill="D9D9D9"/>
          </w:tcPr>
          <w:p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094095" w:rsidRPr="007A6E43" w:rsidRDefault="007A6E43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 w:rsidR="00094095" w:rsidRPr="007A6E43">
              <w:rPr>
                <w:rFonts w:ascii="Times New Roman" w:eastAsia="仿宋_GB2312" w:hAnsi="Times New Roman"/>
                <w:sz w:val="28"/>
                <w:szCs w:val="28"/>
              </w:rPr>
              <w:t>、由两个以上的经营者共同控制的合营企业，通过集中被其中一个或一个以上经营者控制。</w:t>
            </w:r>
          </w:p>
        </w:tc>
      </w:tr>
      <w:tr w:rsidR="00094095" w:rsidRPr="007A6E43" w:rsidTr="002F2D60">
        <w:tc>
          <w:tcPr>
            <w:tcW w:w="1809" w:type="dxa"/>
            <w:shd w:val="clear" w:color="auto" w:fill="D9D9D9"/>
          </w:tcPr>
          <w:p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备注</w:t>
            </w:r>
          </w:p>
        </w:tc>
        <w:tc>
          <w:tcPr>
            <w:tcW w:w="6949" w:type="dxa"/>
            <w:gridSpan w:val="2"/>
          </w:tcPr>
          <w:p w:rsidR="00094095" w:rsidRPr="00CF13DB" w:rsidRDefault="007A6E43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F13DB">
              <w:rPr>
                <w:rFonts w:ascii="Times New Roman" w:eastAsia="仿宋_GB2312" w:hAnsi="Times New Roman"/>
                <w:sz w:val="28"/>
                <w:szCs w:val="28"/>
              </w:rPr>
              <w:t>相关市场界定</w:t>
            </w:r>
            <w:r w:rsidR="00B205CD">
              <w:rPr>
                <w:rFonts w:ascii="Times New Roman" w:eastAsia="仿宋_GB2312" w:hAnsi="Times New Roman" w:hint="eastAsia"/>
                <w:sz w:val="28"/>
                <w:szCs w:val="28"/>
              </w:rPr>
              <w:t>以及</w:t>
            </w:r>
            <w:r w:rsidR="00B205CD">
              <w:rPr>
                <w:rFonts w:ascii="Times New Roman" w:eastAsia="仿宋_GB2312" w:hAnsi="Times New Roman"/>
                <w:sz w:val="28"/>
                <w:szCs w:val="28"/>
              </w:rPr>
              <w:t>各方的市场份额</w:t>
            </w:r>
            <w:r w:rsidRPr="00CF13DB">
              <w:rPr>
                <w:rFonts w:ascii="Times New Roman" w:eastAsia="仿宋_GB2312" w:hAnsi="Times New Roman"/>
                <w:sz w:val="28"/>
                <w:szCs w:val="28"/>
              </w:rPr>
              <w:t>如下：</w:t>
            </w:r>
          </w:p>
          <w:p w:rsidR="007A6E43" w:rsidRDefault="00A63DA3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中国</w:t>
            </w:r>
            <w:r w:rsidR="00477190">
              <w:rPr>
                <w:rFonts w:ascii="Times New Roman" w:eastAsia="仿宋_GB2312" w:hAnsi="Times New Roman" w:hint="eastAsia"/>
                <w:sz w:val="28"/>
                <w:szCs w:val="28"/>
              </w:rPr>
              <w:t>物流用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木质托盘</w:t>
            </w:r>
            <w:r w:rsidR="00477190">
              <w:rPr>
                <w:rFonts w:ascii="Times New Roman" w:eastAsia="仿宋_GB2312" w:hAnsi="Times New Roman" w:hint="eastAsia"/>
                <w:sz w:val="28"/>
                <w:szCs w:val="28"/>
              </w:rPr>
              <w:t>供应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市场</w:t>
            </w:r>
          </w:p>
          <w:p w:rsidR="00A63DA3" w:rsidRDefault="00A63DA3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份额：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路凯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国际：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-5%</w:t>
            </w:r>
            <w:bookmarkStart w:id="0" w:name="_GoBack"/>
            <w:bookmarkEnd w:id="0"/>
          </w:p>
          <w:p w:rsidR="00A63DA3" w:rsidRPr="00A63DA3" w:rsidRDefault="00A63DA3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BB2377" w:rsidRPr="007A6E43" w:rsidRDefault="00BB2377" w:rsidP="00BB2377">
      <w:pPr>
        <w:snapToGrid w:val="0"/>
        <w:spacing w:line="240" w:lineRule="exact"/>
        <w:jc w:val="left"/>
        <w:rPr>
          <w:rFonts w:ascii="Times New Roman" w:eastAsia="楷体_GB2312" w:hAnsi="Times New Roman"/>
          <w:sz w:val="24"/>
          <w:szCs w:val="24"/>
        </w:rPr>
      </w:pPr>
    </w:p>
    <w:sectPr w:rsidR="00BB2377" w:rsidRPr="007A6E43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A5" w:rsidRDefault="00F872A5" w:rsidP="00094095">
      <w:r>
        <w:separator/>
      </w:r>
    </w:p>
  </w:endnote>
  <w:endnote w:type="continuationSeparator" w:id="0">
    <w:p w:rsidR="00F872A5" w:rsidRDefault="00F872A5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A5" w:rsidRDefault="00F872A5" w:rsidP="00094095">
      <w:r>
        <w:separator/>
      </w:r>
    </w:p>
  </w:footnote>
  <w:footnote w:type="continuationSeparator" w:id="0">
    <w:p w:rsidR="00F872A5" w:rsidRDefault="00F872A5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94095"/>
    <w:rsid w:val="001015A6"/>
    <w:rsid w:val="0020710D"/>
    <w:rsid w:val="00245776"/>
    <w:rsid w:val="002F2D60"/>
    <w:rsid w:val="00307976"/>
    <w:rsid w:val="003F7F2C"/>
    <w:rsid w:val="00462174"/>
    <w:rsid w:val="00477190"/>
    <w:rsid w:val="004A07D0"/>
    <w:rsid w:val="004D63C1"/>
    <w:rsid w:val="004F3BF8"/>
    <w:rsid w:val="005F167B"/>
    <w:rsid w:val="007A6E43"/>
    <w:rsid w:val="007B0FA1"/>
    <w:rsid w:val="008E5D22"/>
    <w:rsid w:val="00937CFD"/>
    <w:rsid w:val="00A63DA3"/>
    <w:rsid w:val="00B205CD"/>
    <w:rsid w:val="00BA0750"/>
    <w:rsid w:val="00BB2377"/>
    <w:rsid w:val="00C9068E"/>
    <w:rsid w:val="00C96B80"/>
    <w:rsid w:val="00CF13DB"/>
    <w:rsid w:val="00D21777"/>
    <w:rsid w:val="00E81B19"/>
    <w:rsid w:val="00ED21B1"/>
    <w:rsid w:val="00EF6087"/>
    <w:rsid w:val="00F85CE2"/>
    <w:rsid w:val="00F872A5"/>
    <w:rsid w:val="00F87C1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C176471-761E-45BC-BB4E-6FF3D523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Char"/>
    <w:uiPriority w:val="99"/>
    <w:semiHidden/>
    <w:unhideWhenUsed/>
    <w:rsid w:val="00094095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094095"/>
  </w:style>
  <w:style w:type="character" w:styleId="a5">
    <w:name w:val="endnote reference"/>
    <w:uiPriority w:val="99"/>
    <w:semiHidden/>
    <w:unhideWhenUsed/>
    <w:rsid w:val="0009409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D2177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D2177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63DA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3DA3"/>
    <w:rPr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03D7-1601-4A5A-93DC-EA174193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Junhe</cp:lastModifiedBy>
  <cp:revision>12</cp:revision>
  <cp:lastPrinted>2014-10-08T02:48:00Z</cp:lastPrinted>
  <dcterms:created xsi:type="dcterms:W3CDTF">2018-09-29T00:07:00Z</dcterms:created>
  <dcterms:modified xsi:type="dcterms:W3CDTF">2018-10-19T02:55:00Z</dcterms:modified>
</cp:coreProperties>
</file>