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95" w:rsidRPr="00202C4C" w:rsidRDefault="00094095" w:rsidP="00094095">
      <w:pPr>
        <w:spacing w:line="480" w:lineRule="exact"/>
        <w:rPr>
          <w:rFonts w:ascii="仿宋_GB2312" w:eastAsia="仿宋_GB2312" w:hAnsi="Times New Roman" w:cs="Times New Roman"/>
          <w:sz w:val="28"/>
          <w:szCs w:val="28"/>
        </w:rPr>
      </w:pPr>
    </w:p>
    <w:p w:rsidR="00094095" w:rsidRDefault="00094095" w:rsidP="00DD0E3B">
      <w:pPr>
        <w:spacing w:line="440" w:lineRule="exact"/>
        <w:jc w:val="center"/>
        <w:rPr>
          <w:rFonts w:ascii="黑体" w:eastAsia="黑体" w:hAnsi="Times New Roman" w:cs="Times New Roman"/>
          <w:sz w:val="30"/>
          <w:szCs w:val="30"/>
        </w:rPr>
      </w:pPr>
      <w:r w:rsidRPr="00202C4C">
        <w:rPr>
          <w:rFonts w:ascii="黑体" w:eastAsia="黑体" w:hAnsi="Times New Roman" w:cs="Times New Roman" w:hint="eastAsia"/>
          <w:sz w:val="30"/>
          <w:szCs w:val="30"/>
        </w:rPr>
        <w:t>经营者集中简易案件公示表</w:t>
      </w:r>
    </w:p>
    <w:p w:rsidR="00DD0E3B" w:rsidRPr="00DD0E3B" w:rsidRDefault="00DD0E3B" w:rsidP="00DD0E3B">
      <w:pPr>
        <w:spacing w:line="440" w:lineRule="exact"/>
        <w:jc w:val="center"/>
        <w:rPr>
          <w:rFonts w:ascii="黑体" w:eastAsia="黑体" w:hAnsi="Times New Roman" w:cs="Times New Roman"/>
          <w:sz w:val="30"/>
          <w:szCs w:val="30"/>
        </w:rPr>
      </w:pPr>
    </w:p>
    <w:tbl>
      <w:tblPr>
        <w:tblStyle w:val="a3"/>
        <w:tblW w:w="8758" w:type="dxa"/>
        <w:tblLook w:val="04A0" w:firstRow="1" w:lastRow="0" w:firstColumn="1" w:lastColumn="0" w:noHBand="0" w:noVBand="1"/>
      </w:tblPr>
      <w:tblGrid>
        <w:gridCol w:w="1809"/>
        <w:gridCol w:w="1796"/>
        <w:gridCol w:w="5153"/>
      </w:tblGrid>
      <w:tr w:rsidR="002120A3" w:rsidRPr="00661F7F" w:rsidTr="007C625E">
        <w:tc>
          <w:tcPr>
            <w:tcW w:w="1809" w:type="dxa"/>
            <w:shd w:val="clear" w:color="auto" w:fill="D9D9D9" w:themeFill="background1" w:themeFillShade="D9"/>
          </w:tcPr>
          <w:p w:rsidR="002120A3" w:rsidRPr="00661F7F" w:rsidRDefault="002120A3"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24"/>
                <w:szCs w:val="24"/>
              </w:rPr>
              <w:t>案件名称</w:t>
            </w:r>
          </w:p>
        </w:tc>
        <w:tc>
          <w:tcPr>
            <w:tcW w:w="6949" w:type="dxa"/>
            <w:gridSpan w:val="2"/>
            <w:vAlign w:val="center"/>
          </w:tcPr>
          <w:p w:rsidR="002120A3" w:rsidRPr="00661F7F" w:rsidRDefault="009A68EB" w:rsidP="002120A3">
            <w:pPr>
              <w:spacing w:line="400" w:lineRule="exact"/>
              <w:rPr>
                <w:rFonts w:ascii="Times New Roman" w:eastAsia="宋体" w:hAnsi="Times New Roman" w:cs="Times New Roman"/>
                <w:sz w:val="24"/>
                <w:szCs w:val="24"/>
              </w:rPr>
            </w:pPr>
            <w:r w:rsidRPr="009A68EB">
              <w:rPr>
                <w:rFonts w:ascii="Times New Roman" w:eastAsia="宋体" w:hAnsi="Times New Roman" w:cs="Times New Roman"/>
                <w:sz w:val="24"/>
                <w:szCs w:val="24"/>
              </w:rPr>
              <w:t>普洛斯投资管理</w:t>
            </w:r>
            <w:r w:rsidRPr="009A68EB">
              <w:rPr>
                <w:rFonts w:ascii="Times New Roman" w:eastAsia="宋体" w:hAnsi="Times New Roman" w:cs="Times New Roman"/>
                <w:sz w:val="24"/>
                <w:szCs w:val="24"/>
              </w:rPr>
              <w:t>(</w:t>
            </w:r>
            <w:r w:rsidRPr="009A68EB">
              <w:rPr>
                <w:rFonts w:ascii="Times New Roman" w:eastAsia="宋体" w:hAnsi="Times New Roman" w:cs="Times New Roman"/>
                <w:sz w:val="24"/>
                <w:szCs w:val="24"/>
              </w:rPr>
              <w:t>中国</w:t>
            </w:r>
            <w:r w:rsidRPr="009A68EB">
              <w:rPr>
                <w:rFonts w:ascii="Times New Roman" w:eastAsia="宋体" w:hAnsi="Times New Roman" w:cs="Times New Roman"/>
                <w:sz w:val="24"/>
                <w:szCs w:val="24"/>
              </w:rPr>
              <w:t>)</w:t>
            </w:r>
            <w:r w:rsidRPr="009A68EB">
              <w:rPr>
                <w:rFonts w:ascii="Times New Roman" w:eastAsia="宋体" w:hAnsi="Times New Roman" w:cs="Times New Roman"/>
                <w:sz w:val="24"/>
                <w:szCs w:val="24"/>
              </w:rPr>
              <w:t>有限公司与山西中</w:t>
            </w:r>
            <w:proofErr w:type="gramStart"/>
            <w:r w:rsidRPr="009A68EB">
              <w:rPr>
                <w:rFonts w:ascii="Times New Roman" w:eastAsia="宋体" w:hAnsi="Times New Roman" w:cs="Times New Roman"/>
                <w:sz w:val="24"/>
                <w:szCs w:val="24"/>
              </w:rPr>
              <w:t>鼎铁路</w:t>
            </w:r>
            <w:proofErr w:type="gramEnd"/>
            <w:r w:rsidRPr="009A68EB">
              <w:rPr>
                <w:rFonts w:ascii="Times New Roman" w:eastAsia="宋体" w:hAnsi="Times New Roman" w:cs="Times New Roman"/>
                <w:sz w:val="24"/>
                <w:szCs w:val="24"/>
              </w:rPr>
              <w:t>货运物流有限公司新设合营企业山西中普仓储管理有限公司案</w:t>
            </w:r>
          </w:p>
        </w:tc>
      </w:tr>
      <w:tr w:rsidR="00094095" w:rsidRPr="00661F7F" w:rsidTr="00AB0B34">
        <w:trPr>
          <w:trHeight w:val="993"/>
        </w:trPr>
        <w:tc>
          <w:tcPr>
            <w:tcW w:w="1809" w:type="dxa"/>
            <w:shd w:val="clear" w:color="auto" w:fill="D9D9D9" w:themeFill="background1" w:themeFillShade="D9"/>
          </w:tcPr>
          <w:p w:rsidR="00094095" w:rsidRPr="00661F7F" w:rsidRDefault="00094095"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24"/>
                <w:szCs w:val="24"/>
              </w:rPr>
              <w:t>交易概况（限</w:t>
            </w:r>
            <w:r w:rsidRPr="00661F7F">
              <w:rPr>
                <w:rFonts w:ascii="Times New Roman" w:eastAsia="宋体" w:hAnsi="Times New Roman" w:cs="Times New Roman"/>
                <w:sz w:val="24"/>
                <w:szCs w:val="24"/>
              </w:rPr>
              <w:t>200</w:t>
            </w:r>
            <w:r w:rsidRPr="00661F7F">
              <w:rPr>
                <w:rFonts w:ascii="Times New Roman" w:eastAsia="宋体" w:hAnsi="Times New Roman" w:cs="Times New Roman"/>
                <w:sz w:val="24"/>
                <w:szCs w:val="24"/>
              </w:rPr>
              <w:t>字内）</w:t>
            </w:r>
          </w:p>
        </w:tc>
        <w:tc>
          <w:tcPr>
            <w:tcW w:w="6949" w:type="dxa"/>
            <w:gridSpan w:val="2"/>
          </w:tcPr>
          <w:p w:rsidR="009A68EB" w:rsidRPr="00661F7F" w:rsidRDefault="009A68EB"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24"/>
                <w:szCs w:val="24"/>
              </w:rPr>
              <w:t>普洛斯投资管理</w:t>
            </w:r>
            <w:r>
              <w:rPr>
                <w:rFonts w:ascii="Times New Roman" w:eastAsia="宋体" w:hAnsi="Times New Roman" w:cs="Times New Roman" w:hint="eastAsia"/>
                <w:sz w:val="24"/>
                <w:szCs w:val="24"/>
              </w:rPr>
              <w:t>（</w:t>
            </w:r>
            <w:r w:rsidRPr="00661F7F">
              <w:rPr>
                <w:rFonts w:ascii="Times New Roman" w:eastAsia="宋体" w:hAnsi="Times New Roman" w:cs="Times New Roman"/>
                <w:sz w:val="24"/>
                <w:szCs w:val="24"/>
              </w:rPr>
              <w:t>中国</w:t>
            </w:r>
            <w:r>
              <w:rPr>
                <w:rFonts w:ascii="Times New Roman" w:eastAsia="宋体" w:hAnsi="Times New Roman" w:cs="Times New Roman" w:hint="eastAsia"/>
                <w:sz w:val="24"/>
                <w:szCs w:val="24"/>
              </w:rPr>
              <w:t>）</w:t>
            </w:r>
            <w:r w:rsidRPr="00661F7F">
              <w:rPr>
                <w:rFonts w:ascii="Times New Roman" w:eastAsia="宋体" w:hAnsi="Times New Roman" w:cs="Times New Roman"/>
                <w:sz w:val="24"/>
                <w:szCs w:val="24"/>
              </w:rPr>
              <w:t>有限公司（</w:t>
            </w:r>
            <w:r w:rsidRPr="00661F7F">
              <w:rPr>
                <w:rFonts w:ascii="Times New Roman" w:eastAsia="宋体" w:hAnsi="Times New Roman" w:cs="Times New Roman"/>
                <w:sz w:val="24"/>
                <w:szCs w:val="24"/>
              </w:rPr>
              <w:t>“</w:t>
            </w:r>
            <w:r w:rsidRPr="00661F7F">
              <w:rPr>
                <w:rFonts w:ascii="Times New Roman" w:eastAsia="宋体" w:hAnsi="Times New Roman" w:cs="Times New Roman"/>
                <w:sz w:val="24"/>
                <w:szCs w:val="24"/>
              </w:rPr>
              <w:t>普洛斯管理公司</w:t>
            </w:r>
            <w:r w:rsidRPr="00661F7F">
              <w:rPr>
                <w:rFonts w:ascii="Times New Roman" w:eastAsia="宋体" w:hAnsi="Times New Roman" w:cs="Times New Roman"/>
                <w:sz w:val="24"/>
                <w:szCs w:val="24"/>
              </w:rPr>
              <w:t>”</w:t>
            </w:r>
            <w:r w:rsidRPr="00661F7F">
              <w:rPr>
                <w:rFonts w:ascii="Times New Roman" w:eastAsia="宋体" w:hAnsi="Times New Roman" w:cs="Times New Roman"/>
                <w:sz w:val="24"/>
                <w:szCs w:val="24"/>
              </w:rPr>
              <w:t>）拟与</w:t>
            </w:r>
            <w:r w:rsidRPr="009A68EB">
              <w:rPr>
                <w:rFonts w:ascii="Times New Roman" w:eastAsia="宋体" w:hAnsi="Times New Roman" w:cs="Times New Roman"/>
                <w:sz w:val="24"/>
                <w:szCs w:val="24"/>
              </w:rPr>
              <w:t>山西中</w:t>
            </w:r>
            <w:proofErr w:type="gramStart"/>
            <w:r w:rsidRPr="009A68EB">
              <w:rPr>
                <w:rFonts w:ascii="Times New Roman" w:eastAsia="宋体" w:hAnsi="Times New Roman" w:cs="Times New Roman"/>
                <w:sz w:val="24"/>
                <w:szCs w:val="24"/>
              </w:rPr>
              <w:t>鼎铁路</w:t>
            </w:r>
            <w:proofErr w:type="gramEnd"/>
            <w:r w:rsidRPr="009A68EB">
              <w:rPr>
                <w:rFonts w:ascii="Times New Roman" w:eastAsia="宋体" w:hAnsi="Times New Roman" w:cs="Times New Roman"/>
                <w:sz w:val="24"/>
                <w:szCs w:val="24"/>
              </w:rPr>
              <w:t>货运物流有限公司</w:t>
            </w:r>
            <w:r w:rsidRPr="00661F7F">
              <w:rPr>
                <w:rFonts w:ascii="Times New Roman" w:eastAsia="宋体" w:hAnsi="Times New Roman" w:cs="Times New Roman"/>
                <w:sz w:val="24"/>
                <w:szCs w:val="24"/>
              </w:rPr>
              <w:t>（</w:t>
            </w:r>
            <w:r w:rsidRPr="00661F7F">
              <w:rPr>
                <w:rFonts w:ascii="Times New Roman" w:eastAsia="宋体" w:hAnsi="Times New Roman" w:cs="Times New Roman"/>
                <w:sz w:val="24"/>
                <w:szCs w:val="24"/>
              </w:rPr>
              <w:t>“</w:t>
            </w:r>
            <w:r>
              <w:rPr>
                <w:rFonts w:ascii="Times New Roman" w:eastAsia="宋体" w:hAnsi="Times New Roman" w:cs="Times New Roman" w:hint="eastAsia"/>
                <w:sz w:val="24"/>
                <w:szCs w:val="24"/>
              </w:rPr>
              <w:t>山西中鼎</w:t>
            </w:r>
            <w:r w:rsidRPr="00661F7F">
              <w:rPr>
                <w:rFonts w:ascii="Times New Roman" w:eastAsia="宋体" w:hAnsi="Times New Roman" w:cs="Times New Roman"/>
                <w:sz w:val="24"/>
                <w:szCs w:val="24"/>
              </w:rPr>
              <w:t>公司</w:t>
            </w:r>
            <w:r w:rsidRPr="00661F7F">
              <w:rPr>
                <w:rFonts w:ascii="Times New Roman" w:eastAsia="宋体" w:hAnsi="Times New Roman" w:cs="Times New Roman"/>
                <w:sz w:val="24"/>
                <w:szCs w:val="24"/>
              </w:rPr>
              <w:t>”</w:t>
            </w:r>
            <w:r>
              <w:rPr>
                <w:rFonts w:ascii="Times New Roman" w:eastAsia="宋体" w:hAnsi="Times New Roman" w:cs="Times New Roman"/>
                <w:sz w:val="24"/>
                <w:szCs w:val="24"/>
              </w:rPr>
              <w:t>）</w:t>
            </w:r>
            <w:r w:rsidRPr="00661F7F">
              <w:rPr>
                <w:rFonts w:ascii="Times New Roman" w:eastAsia="宋体" w:hAnsi="Times New Roman" w:cs="Times New Roman"/>
                <w:sz w:val="24"/>
                <w:szCs w:val="24"/>
              </w:rPr>
              <w:t>合资设立</w:t>
            </w:r>
            <w:r w:rsidRPr="009A68EB">
              <w:rPr>
                <w:rFonts w:ascii="Times New Roman" w:eastAsia="宋体" w:hAnsi="Times New Roman" w:cs="Times New Roman"/>
                <w:sz w:val="24"/>
                <w:szCs w:val="24"/>
              </w:rPr>
              <w:t>山西中普仓储管理有限公司</w:t>
            </w:r>
            <w:r w:rsidRPr="00661F7F">
              <w:rPr>
                <w:rFonts w:ascii="Times New Roman" w:eastAsia="宋体" w:hAnsi="Times New Roman" w:cs="Times New Roman"/>
                <w:sz w:val="24"/>
                <w:szCs w:val="24"/>
              </w:rPr>
              <w:t>（</w:t>
            </w:r>
            <w:r w:rsidRPr="00661F7F">
              <w:rPr>
                <w:rFonts w:ascii="Times New Roman" w:eastAsia="宋体" w:hAnsi="Times New Roman" w:cs="Times New Roman"/>
                <w:sz w:val="24"/>
                <w:szCs w:val="24"/>
              </w:rPr>
              <w:t>“</w:t>
            </w:r>
            <w:r>
              <w:rPr>
                <w:rFonts w:ascii="Times New Roman" w:eastAsia="宋体" w:hAnsi="Times New Roman" w:cs="Times New Roman" w:hint="eastAsia"/>
                <w:sz w:val="24"/>
                <w:szCs w:val="24"/>
              </w:rPr>
              <w:t>山西中普</w:t>
            </w:r>
            <w:r w:rsidRPr="00661F7F">
              <w:rPr>
                <w:rFonts w:ascii="Times New Roman" w:eastAsia="宋体" w:hAnsi="Times New Roman" w:cs="Times New Roman"/>
                <w:sz w:val="24"/>
                <w:szCs w:val="24"/>
              </w:rPr>
              <w:t>公司</w:t>
            </w:r>
            <w:r w:rsidRPr="00661F7F">
              <w:rPr>
                <w:rFonts w:ascii="Times New Roman" w:eastAsia="宋体" w:hAnsi="Times New Roman" w:cs="Times New Roman"/>
                <w:sz w:val="24"/>
                <w:szCs w:val="24"/>
              </w:rPr>
              <w:t>”</w:t>
            </w:r>
            <w:r w:rsidRPr="00661F7F">
              <w:rPr>
                <w:rFonts w:ascii="Times New Roman" w:eastAsia="宋体" w:hAnsi="Times New Roman" w:cs="Times New Roman"/>
                <w:sz w:val="24"/>
                <w:szCs w:val="24"/>
              </w:rPr>
              <w:t>）。普洛斯管理公司和</w:t>
            </w:r>
            <w:r>
              <w:rPr>
                <w:rFonts w:ascii="Times New Roman" w:eastAsia="宋体" w:hAnsi="Times New Roman" w:cs="Times New Roman" w:hint="eastAsia"/>
                <w:sz w:val="24"/>
                <w:szCs w:val="24"/>
              </w:rPr>
              <w:t>山西中鼎</w:t>
            </w:r>
            <w:r w:rsidRPr="00661F7F">
              <w:rPr>
                <w:rFonts w:ascii="Times New Roman" w:eastAsia="宋体" w:hAnsi="Times New Roman" w:cs="Times New Roman"/>
                <w:sz w:val="24"/>
                <w:szCs w:val="24"/>
              </w:rPr>
              <w:t>公司拟对</w:t>
            </w:r>
            <w:r>
              <w:rPr>
                <w:rFonts w:ascii="Times New Roman" w:eastAsia="宋体" w:hAnsi="Times New Roman" w:cs="Times New Roman" w:hint="eastAsia"/>
                <w:sz w:val="24"/>
                <w:szCs w:val="24"/>
              </w:rPr>
              <w:t>山西中普</w:t>
            </w:r>
            <w:r w:rsidRPr="00661F7F">
              <w:rPr>
                <w:rFonts w:ascii="Times New Roman" w:eastAsia="宋体" w:hAnsi="Times New Roman" w:cs="Times New Roman"/>
                <w:sz w:val="24"/>
                <w:szCs w:val="24"/>
              </w:rPr>
              <w:t>公司的持股比例分别为</w:t>
            </w:r>
            <w:r>
              <w:rPr>
                <w:rFonts w:ascii="Times New Roman" w:eastAsia="宋体" w:hAnsi="Times New Roman" w:cs="Times New Roman" w:hint="eastAsia"/>
                <w:sz w:val="24"/>
                <w:szCs w:val="24"/>
              </w:rPr>
              <w:t>60</w:t>
            </w:r>
            <w:r w:rsidRPr="00661F7F">
              <w:rPr>
                <w:rFonts w:ascii="Times New Roman" w:eastAsia="宋体" w:hAnsi="Times New Roman" w:cs="Times New Roman"/>
                <w:sz w:val="24"/>
                <w:szCs w:val="24"/>
              </w:rPr>
              <w:t>%</w:t>
            </w:r>
            <w:r w:rsidRPr="00661F7F">
              <w:rPr>
                <w:rFonts w:ascii="Times New Roman" w:eastAsia="宋体" w:hAnsi="Times New Roman" w:cs="Times New Roman"/>
                <w:sz w:val="24"/>
                <w:szCs w:val="24"/>
              </w:rPr>
              <w:t>和</w:t>
            </w:r>
            <w:r>
              <w:rPr>
                <w:rFonts w:ascii="Times New Roman" w:eastAsia="宋体" w:hAnsi="Times New Roman" w:cs="Times New Roman"/>
                <w:sz w:val="24"/>
                <w:szCs w:val="24"/>
              </w:rPr>
              <w:t>4</w:t>
            </w:r>
            <w:r>
              <w:rPr>
                <w:rFonts w:ascii="Times New Roman" w:eastAsia="宋体" w:hAnsi="Times New Roman" w:cs="Times New Roman" w:hint="eastAsia"/>
                <w:sz w:val="24"/>
                <w:szCs w:val="24"/>
              </w:rPr>
              <w:t>0</w:t>
            </w:r>
            <w:r w:rsidRPr="00661F7F">
              <w:rPr>
                <w:rFonts w:ascii="Times New Roman" w:eastAsia="宋体" w:hAnsi="Times New Roman" w:cs="Times New Roman"/>
                <w:sz w:val="24"/>
                <w:szCs w:val="24"/>
              </w:rPr>
              <w:t>%</w:t>
            </w:r>
            <w:r w:rsidRPr="00661F7F">
              <w:rPr>
                <w:rFonts w:ascii="Times New Roman" w:eastAsia="宋体" w:hAnsi="Times New Roman" w:cs="Times New Roman"/>
                <w:sz w:val="24"/>
                <w:szCs w:val="24"/>
              </w:rPr>
              <w:t>。</w:t>
            </w:r>
          </w:p>
        </w:tc>
      </w:tr>
      <w:tr w:rsidR="00094095" w:rsidRPr="00661F7F" w:rsidTr="00AB0B34">
        <w:trPr>
          <w:trHeight w:val="468"/>
        </w:trPr>
        <w:tc>
          <w:tcPr>
            <w:tcW w:w="1809" w:type="dxa"/>
            <w:vMerge w:val="restart"/>
            <w:shd w:val="clear" w:color="auto" w:fill="D9D9D9" w:themeFill="background1" w:themeFillShade="D9"/>
          </w:tcPr>
          <w:p w:rsidR="00094095" w:rsidRPr="00661F7F" w:rsidRDefault="00094095"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24"/>
                <w:szCs w:val="24"/>
              </w:rPr>
              <w:t>参与集中的经营者简介</w:t>
            </w:r>
          </w:p>
        </w:tc>
        <w:tc>
          <w:tcPr>
            <w:tcW w:w="1796" w:type="dxa"/>
          </w:tcPr>
          <w:p w:rsidR="00094095" w:rsidRPr="00661F7F" w:rsidRDefault="009A68EB"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24"/>
                <w:szCs w:val="24"/>
              </w:rPr>
              <w:t>普洛斯管理公司</w:t>
            </w:r>
          </w:p>
        </w:tc>
        <w:tc>
          <w:tcPr>
            <w:tcW w:w="5153" w:type="dxa"/>
          </w:tcPr>
          <w:p w:rsidR="009A68EB" w:rsidRPr="00661F7F" w:rsidRDefault="009A68EB"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24"/>
                <w:szCs w:val="24"/>
              </w:rPr>
              <w:t>普洛斯管理公司系一家根据中国法律于</w:t>
            </w:r>
            <w:r w:rsidRPr="00661F7F">
              <w:rPr>
                <w:rFonts w:ascii="Times New Roman" w:eastAsia="宋体" w:hAnsi="Times New Roman" w:cs="Times New Roman"/>
                <w:sz w:val="24"/>
                <w:szCs w:val="24"/>
              </w:rPr>
              <w:t>2004</w:t>
            </w:r>
            <w:r w:rsidRPr="00661F7F">
              <w:rPr>
                <w:rFonts w:ascii="Times New Roman" w:eastAsia="宋体" w:hAnsi="Times New Roman" w:cs="Times New Roman"/>
                <w:sz w:val="24"/>
                <w:szCs w:val="24"/>
              </w:rPr>
              <w:t>年</w:t>
            </w:r>
            <w:r w:rsidRPr="00661F7F">
              <w:rPr>
                <w:rFonts w:ascii="Times New Roman" w:eastAsia="宋体" w:hAnsi="Times New Roman" w:cs="Times New Roman"/>
                <w:sz w:val="24"/>
                <w:szCs w:val="24"/>
              </w:rPr>
              <w:t>8</w:t>
            </w:r>
            <w:r w:rsidRPr="00661F7F">
              <w:rPr>
                <w:rFonts w:ascii="Times New Roman" w:eastAsia="宋体" w:hAnsi="Times New Roman" w:cs="Times New Roman"/>
                <w:sz w:val="24"/>
                <w:szCs w:val="24"/>
              </w:rPr>
              <w:t>月在中国上海设立的外商独资企业，主要为其最终控制人新加坡普洛斯在中国投资设立的公司提供投资管理和咨询服务、市场营销服务、员工培训和管理及支持服务、资金运作和财务管理服务、技术支持和研究开发服务、信息服务。</w:t>
            </w:r>
          </w:p>
          <w:p w:rsidR="00094095" w:rsidRPr="00661F7F" w:rsidRDefault="009A68EB"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24"/>
                <w:szCs w:val="24"/>
              </w:rPr>
              <w:t>新加坡普洛斯在中国投资设立的公司的主营业务主要包括通用仓库及通用厂房的开发及租赁。</w:t>
            </w:r>
          </w:p>
        </w:tc>
      </w:tr>
      <w:tr w:rsidR="00635C19" w:rsidRPr="00661F7F" w:rsidTr="002F1D1F">
        <w:trPr>
          <w:trHeight w:val="1742"/>
        </w:trPr>
        <w:tc>
          <w:tcPr>
            <w:tcW w:w="1809" w:type="dxa"/>
            <w:vMerge/>
            <w:shd w:val="clear" w:color="auto" w:fill="D9D9D9" w:themeFill="background1" w:themeFillShade="D9"/>
          </w:tcPr>
          <w:p w:rsidR="00635C19" w:rsidRPr="00661F7F" w:rsidRDefault="00635C19" w:rsidP="00AB0B34">
            <w:pPr>
              <w:spacing w:line="500" w:lineRule="exact"/>
              <w:rPr>
                <w:rFonts w:ascii="Times New Roman" w:eastAsia="宋体" w:hAnsi="Times New Roman" w:cs="Times New Roman"/>
                <w:sz w:val="24"/>
                <w:szCs w:val="24"/>
              </w:rPr>
            </w:pPr>
          </w:p>
        </w:tc>
        <w:tc>
          <w:tcPr>
            <w:tcW w:w="1796" w:type="dxa"/>
          </w:tcPr>
          <w:p w:rsidR="00635C19" w:rsidRPr="00661F7F" w:rsidRDefault="00663A96" w:rsidP="00967E9B">
            <w:pPr>
              <w:spacing w:beforeLines="50" w:before="156" w:afterLines="50" w:after="156" w:line="40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山西中鼎</w:t>
            </w:r>
            <w:r w:rsidRPr="00661F7F">
              <w:rPr>
                <w:rFonts w:ascii="Times New Roman" w:eastAsia="宋体" w:hAnsi="Times New Roman" w:cs="Times New Roman"/>
                <w:sz w:val="24"/>
                <w:szCs w:val="24"/>
              </w:rPr>
              <w:t>公司</w:t>
            </w:r>
          </w:p>
        </w:tc>
        <w:tc>
          <w:tcPr>
            <w:tcW w:w="5153" w:type="dxa"/>
          </w:tcPr>
          <w:p w:rsidR="00635C19" w:rsidRPr="00661F7F" w:rsidRDefault="00663A96" w:rsidP="00967E9B">
            <w:pPr>
              <w:spacing w:beforeLines="50" w:before="156" w:afterLines="50" w:after="156" w:line="40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山西中鼎公司系</w:t>
            </w:r>
            <w:r w:rsidR="00EB7C86">
              <w:rPr>
                <w:rFonts w:ascii="Times New Roman" w:eastAsia="宋体" w:hAnsi="Times New Roman" w:cs="Times New Roman" w:hint="eastAsia"/>
                <w:sz w:val="24"/>
                <w:szCs w:val="24"/>
              </w:rPr>
              <w:t>一家根据中国法律于</w:t>
            </w:r>
            <w:r>
              <w:rPr>
                <w:rFonts w:ascii="Times New Roman" w:eastAsia="宋体" w:hAnsi="Times New Roman" w:cs="Times New Roman" w:hint="eastAsia"/>
                <w:sz w:val="24"/>
                <w:szCs w:val="24"/>
              </w:rPr>
              <w:t>2013</w:t>
            </w:r>
            <w:r w:rsidR="00EB7C86">
              <w:rPr>
                <w:rFonts w:ascii="Times New Roman" w:eastAsia="宋体" w:hAnsi="Times New Roman" w:cs="Times New Roman" w:hint="eastAsia"/>
                <w:sz w:val="24"/>
                <w:szCs w:val="24"/>
              </w:rPr>
              <w:t>年</w:t>
            </w:r>
            <w:r w:rsidR="00EB7C86">
              <w:rPr>
                <w:rFonts w:ascii="Times New Roman" w:eastAsia="宋体" w:hAnsi="Times New Roman" w:cs="Times New Roman" w:hint="eastAsia"/>
                <w:sz w:val="24"/>
                <w:szCs w:val="24"/>
              </w:rPr>
              <w:t>1</w:t>
            </w:r>
            <w:r w:rsidR="00EB7C86">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23</w:t>
            </w:r>
            <w:r>
              <w:rPr>
                <w:rFonts w:ascii="Times New Roman" w:eastAsia="宋体" w:hAnsi="Times New Roman" w:cs="Times New Roman" w:hint="eastAsia"/>
                <w:sz w:val="24"/>
                <w:szCs w:val="24"/>
              </w:rPr>
              <w:t>日在中国山西省</w:t>
            </w:r>
            <w:proofErr w:type="gramStart"/>
            <w:r>
              <w:rPr>
                <w:rFonts w:ascii="Times New Roman" w:eastAsia="宋体" w:hAnsi="Times New Roman" w:cs="Times New Roman" w:hint="eastAsia"/>
                <w:sz w:val="24"/>
                <w:szCs w:val="24"/>
              </w:rPr>
              <w:t>晋中市</w:t>
            </w:r>
            <w:proofErr w:type="gramEnd"/>
            <w:r w:rsidR="00EB7C86">
              <w:rPr>
                <w:rFonts w:ascii="Times New Roman" w:eastAsia="宋体" w:hAnsi="Times New Roman" w:cs="Times New Roman" w:hint="eastAsia"/>
                <w:sz w:val="24"/>
                <w:szCs w:val="24"/>
              </w:rPr>
              <w:t>设立的</w:t>
            </w:r>
            <w:r>
              <w:rPr>
                <w:rFonts w:ascii="Times New Roman" w:eastAsia="宋体" w:hAnsi="Times New Roman" w:cs="Times New Roman" w:hint="eastAsia"/>
                <w:sz w:val="24"/>
                <w:szCs w:val="24"/>
              </w:rPr>
              <w:t>有限责任公司</w:t>
            </w:r>
            <w:r w:rsidR="00100C28">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经营业务包括</w:t>
            </w:r>
            <w:r w:rsidRPr="00663A96">
              <w:rPr>
                <w:rFonts w:ascii="Times New Roman" w:eastAsia="宋体" w:hAnsi="Times New Roman" w:cs="Times New Roman"/>
                <w:sz w:val="24"/>
                <w:szCs w:val="24"/>
              </w:rPr>
              <w:t>仓储、保管、装卸、搬运、包装、配送、流通加工、物流信息咨询、运输方案设计、进出口业务代理，保险报价运输代理等</w:t>
            </w:r>
            <w:r w:rsidR="00100C28">
              <w:rPr>
                <w:rFonts w:ascii="Times New Roman" w:eastAsia="宋体" w:hAnsi="Times New Roman" w:cs="Times New Roman" w:hint="eastAsia"/>
                <w:sz w:val="24"/>
                <w:szCs w:val="24"/>
              </w:rPr>
              <w:t>。</w:t>
            </w:r>
          </w:p>
        </w:tc>
      </w:tr>
      <w:tr w:rsidR="00094095" w:rsidRPr="00661F7F" w:rsidTr="00AB0B34">
        <w:trPr>
          <w:trHeight w:val="279"/>
        </w:trPr>
        <w:tc>
          <w:tcPr>
            <w:tcW w:w="1809" w:type="dxa"/>
            <w:vMerge w:val="restart"/>
            <w:shd w:val="clear" w:color="auto" w:fill="D9D9D9" w:themeFill="background1" w:themeFillShade="D9"/>
          </w:tcPr>
          <w:p w:rsidR="00094095" w:rsidRPr="00661F7F" w:rsidRDefault="00094095"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24"/>
                <w:szCs w:val="24"/>
              </w:rPr>
              <w:t>简易案件理由（可多选）</w:t>
            </w:r>
          </w:p>
        </w:tc>
        <w:tc>
          <w:tcPr>
            <w:tcW w:w="6949" w:type="dxa"/>
            <w:gridSpan w:val="2"/>
          </w:tcPr>
          <w:p w:rsidR="00094095" w:rsidRPr="00661F7F" w:rsidRDefault="009A68EB"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36"/>
                <w:szCs w:val="36"/>
              </w:rPr>
              <w:t>□</w:t>
            </w:r>
            <w:r w:rsidR="00094095" w:rsidRPr="00661F7F">
              <w:rPr>
                <w:rFonts w:ascii="Times New Roman" w:eastAsia="宋体" w:hAnsi="Times New Roman" w:cs="Times New Roman"/>
                <w:sz w:val="24"/>
                <w:szCs w:val="24"/>
              </w:rPr>
              <w:t>1</w:t>
            </w:r>
            <w:r w:rsidR="00094095" w:rsidRPr="00661F7F">
              <w:rPr>
                <w:rFonts w:ascii="Times New Roman" w:eastAsia="宋体" w:hAnsi="Times New Roman" w:cs="Times New Roman"/>
                <w:sz w:val="24"/>
                <w:szCs w:val="24"/>
              </w:rPr>
              <w:t>、在同一相关市场，所有参与集中的经营者所占市场份额之和小于</w:t>
            </w:r>
            <w:r w:rsidR="00094095" w:rsidRPr="00661F7F">
              <w:rPr>
                <w:rFonts w:ascii="Times New Roman" w:eastAsia="宋体" w:hAnsi="Times New Roman" w:cs="Times New Roman"/>
                <w:sz w:val="24"/>
                <w:szCs w:val="24"/>
              </w:rPr>
              <w:t>15%</w:t>
            </w:r>
            <w:r w:rsidR="00094095" w:rsidRPr="00661F7F">
              <w:rPr>
                <w:rFonts w:ascii="Times New Roman" w:eastAsia="宋体" w:hAnsi="Times New Roman" w:cs="Times New Roman"/>
                <w:sz w:val="24"/>
                <w:szCs w:val="24"/>
              </w:rPr>
              <w:t>。</w:t>
            </w:r>
          </w:p>
        </w:tc>
      </w:tr>
      <w:tr w:rsidR="00094095" w:rsidRPr="00661F7F" w:rsidTr="00AB0B34">
        <w:trPr>
          <w:trHeight w:val="330"/>
        </w:trPr>
        <w:tc>
          <w:tcPr>
            <w:tcW w:w="1809" w:type="dxa"/>
            <w:vMerge/>
            <w:shd w:val="clear" w:color="auto" w:fill="D9D9D9" w:themeFill="background1" w:themeFillShade="D9"/>
          </w:tcPr>
          <w:p w:rsidR="00094095" w:rsidRPr="00661F7F" w:rsidRDefault="00094095" w:rsidP="00967E9B">
            <w:pPr>
              <w:spacing w:beforeLines="50" w:before="156" w:afterLines="50" w:after="156" w:line="400" w:lineRule="exact"/>
              <w:rPr>
                <w:rFonts w:ascii="Times New Roman" w:eastAsia="宋体" w:hAnsi="Times New Roman" w:cs="Times New Roman"/>
                <w:sz w:val="24"/>
                <w:szCs w:val="24"/>
              </w:rPr>
            </w:pPr>
          </w:p>
        </w:tc>
        <w:tc>
          <w:tcPr>
            <w:tcW w:w="6949" w:type="dxa"/>
            <w:gridSpan w:val="2"/>
          </w:tcPr>
          <w:p w:rsidR="00094095" w:rsidRPr="00661F7F" w:rsidRDefault="002E2893"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36"/>
                <w:szCs w:val="36"/>
              </w:rPr>
              <w:t>□</w:t>
            </w:r>
            <w:r w:rsidR="00094095" w:rsidRPr="00661F7F">
              <w:rPr>
                <w:rFonts w:ascii="Times New Roman" w:eastAsia="宋体" w:hAnsi="Times New Roman" w:cs="Times New Roman"/>
                <w:sz w:val="24"/>
                <w:szCs w:val="24"/>
              </w:rPr>
              <w:t>2</w:t>
            </w:r>
            <w:r w:rsidR="00094095" w:rsidRPr="00661F7F">
              <w:rPr>
                <w:rFonts w:ascii="Times New Roman" w:eastAsia="宋体" w:hAnsi="Times New Roman" w:cs="Times New Roman"/>
                <w:sz w:val="24"/>
                <w:szCs w:val="24"/>
              </w:rPr>
              <w:t>、存在上下游关系的参与集中的经营者，在上下游市场所占的市场份额均小于</w:t>
            </w:r>
            <w:r w:rsidR="00094095" w:rsidRPr="00661F7F">
              <w:rPr>
                <w:rFonts w:ascii="Times New Roman" w:eastAsia="宋体" w:hAnsi="Times New Roman" w:cs="Times New Roman"/>
                <w:sz w:val="24"/>
                <w:szCs w:val="24"/>
              </w:rPr>
              <w:t>25%</w:t>
            </w:r>
            <w:r w:rsidR="00094095" w:rsidRPr="00661F7F">
              <w:rPr>
                <w:rFonts w:ascii="Times New Roman" w:eastAsia="宋体" w:hAnsi="Times New Roman" w:cs="Times New Roman"/>
                <w:sz w:val="24"/>
                <w:szCs w:val="24"/>
              </w:rPr>
              <w:t>。</w:t>
            </w:r>
          </w:p>
        </w:tc>
      </w:tr>
      <w:tr w:rsidR="00094095" w:rsidRPr="00661F7F" w:rsidTr="00AB0B34">
        <w:trPr>
          <w:trHeight w:val="285"/>
        </w:trPr>
        <w:tc>
          <w:tcPr>
            <w:tcW w:w="1809" w:type="dxa"/>
            <w:vMerge/>
            <w:shd w:val="clear" w:color="auto" w:fill="D9D9D9" w:themeFill="background1" w:themeFillShade="D9"/>
          </w:tcPr>
          <w:p w:rsidR="00094095" w:rsidRPr="00661F7F" w:rsidRDefault="00094095" w:rsidP="00967E9B">
            <w:pPr>
              <w:spacing w:beforeLines="50" w:before="156" w:afterLines="50" w:after="156" w:line="400" w:lineRule="exact"/>
              <w:rPr>
                <w:rFonts w:ascii="Times New Roman" w:eastAsia="宋体" w:hAnsi="Times New Roman" w:cs="Times New Roman"/>
                <w:sz w:val="24"/>
                <w:szCs w:val="24"/>
              </w:rPr>
            </w:pPr>
          </w:p>
        </w:tc>
        <w:tc>
          <w:tcPr>
            <w:tcW w:w="6949" w:type="dxa"/>
            <w:gridSpan w:val="2"/>
          </w:tcPr>
          <w:p w:rsidR="00094095" w:rsidRPr="00661F7F" w:rsidRDefault="009A68EB"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24"/>
                <w:szCs w:val="24"/>
              </w:rPr>
              <w:sym w:font="Wingdings" w:char="F0FE"/>
            </w:r>
            <w:r w:rsidR="00094095" w:rsidRPr="00661F7F">
              <w:rPr>
                <w:rFonts w:ascii="Times New Roman" w:eastAsia="宋体" w:hAnsi="Times New Roman" w:cs="Times New Roman"/>
                <w:sz w:val="24"/>
                <w:szCs w:val="24"/>
              </w:rPr>
              <w:t>3</w:t>
            </w:r>
            <w:r w:rsidR="00094095" w:rsidRPr="00661F7F">
              <w:rPr>
                <w:rFonts w:ascii="Times New Roman" w:eastAsia="宋体" w:hAnsi="Times New Roman" w:cs="Times New Roman"/>
                <w:sz w:val="24"/>
                <w:szCs w:val="24"/>
              </w:rPr>
              <w:t>、不在同一相关市场、也不存在上下游关系的参与集中的经营者，在与交易有关的每个市场所占的份额均小于</w:t>
            </w:r>
            <w:r w:rsidR="00094095" w:rsidRPr="00661F7F">
              <w:rPr>
                <w:rFonts w:ascii="Times New Roman" w:eastAsia="宋体" w:hAnsi="Times New Roman" w:cs="Times New Roman"/>
                <w:sz w:val="24"/>
                <w:szCs w:val="24"/>
              </w:rPr>
              <w:t>25%</w:t>
            </w:r>
            <w:r w:rsidR="00094095" w:rsidRPr="00661F7F">
              <w:rPr>
                <w:rFonts w:ascii="Times New Roman" w:eastAsia="宋体" w:hAnsi="Times New Roman" w:cs="Times New Roman"/>
                <w:sz w:val="24"/>
                <w:szCs w:val="24"/>
              </w:rPr>
              <w:t>。</w:t>
            </w:r>
          </w:p>
        </w:tc>
      </w:tr>
      <w:tr w:rsidR="00094095" w:rsidRPr="00661F7F" w:rsidTr="00AB0B34">
        <w:trPr>
          <w:trHeight w:val="870"/>
        </w:trPr>
        <w:tc>
          <w:tcPr>
            <w:tcW w:w="1809" w:type="dxa"/>
            <w:vMerge/>
            <w:shd w:val="clear" w:color="auto" w:fill="D9D9D9" w:themeFill="background1" w:themeFillShade="D9"/>
          </w:tcPr>
          <w:p w:rsidR="00094095" w:rsidRPr="00661F7F" w:rsidRDefault="00094095" w:rsidP="00AB0B34">
            <w:pPr>
              <w:spacing w:line="500" w:lineRule="exact"/>
              <w:rPr>
                <w:rFonts w:ascii="Times New Roman" w:eastAsia="宋体" w:hAnsi="Times New Roman" w:cs="Times New Roman"/>
                <w:sz w:val="24"/>
                <w:szCs w:val="24"/>
              </w:rPr>
            </w:pPr>
          </w:p>
        </w:tc>
        <w:tc>
          <w:tcPr>
            <w:tcW w:w="6949" w:type="dxa"/>
            <w:gridSpan w:val="2"/>
          </w:tcPr>
          <w:p w:rsidR="00094095" w:rsidRPr="00661F7F" w:rsidRDefault="00C05A5C"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36"/>
                <w:szCs w:val="36"/>
              </w:rPr>
              <w:t>□</w:t>
            </w:r>
            <w:r w:rsidR="00094095" w:rsidRPr="00661F7F">
              <w:rPr>
                <w:rFonts w:ascii="Times New Roman" w:eastAsia="宋体" w:hAnsi="Times New Roman" w:cs="Times New Roman"/>
                <w:sz w:val="24"/>
                <w:szCs w:val="24"/>
              </w:rPr>
              <w:t>4</w:t>
            </w:r>
            <w:r w:rsidR="00094095" w:rsidRPr="00661F7F">
              <w:rPr>
                <w:rFonts w:ascii="Times New Roman" w:eastAsia="宋体" w:hAnsi="Times New Roman" w:cs="Times New Roman"/>
                <w:sz w:val="24"/>
                <w:szCs w:val="24"/>
              </w:rPr>
              <w:t>、参与集中的经营者在中国境外设立合营企业，合营企业不在中国境内从事经济活动。</w:t>
            </w:r>
          </w:p>
        </w:tc>
      </w:tr>
      <w:tr w:rsidR="00094095" w:rsidRPr="00661F7F" w:rsidTr="00AB0B34">
        <w:trPr>
          <w:trHeight w:val="264"/>
        </w:trPr>
        <w:tc>
          <w:tcPr>
            <w:tcW w:w="1809" w:type="dxa"/>
            <w:vMerge/>
            <w:shd w:val="clear" w:color="auto" w:fill="D9D9D9" w:themeFill="background1" w:themeFillShade="D9"/>
          </w:tcPr>
          <w:p w:rsidR="00094095" w:rsidRPr="00661F7F" w:rsidRDefault="00094095" w:rsidP="00AB0B34">
            <w:pPr>
              <w:spacing w:line="500" w:lineRule="exact"/>
              <w:rPr>
                <w:rFonts w:ascii="Times New Roman" w:eastAsia="宋体" w:hAnsi="Times New Roman" w:cs="Times New Roman"/>
                <w:sz w:val="24"/>
                <w:szCs w:val="24"/>
              </w:rPr>
            </w:pPr>
          </w:p>
        </w:tc>
        <w:tc>
          <w:tcPr>
            <w:tcW w:w="6949" w:type="dxa"/>
            <w:gridSpan w:val="2"/>
          </w:tcPr>
          <w:p w:rsidR="00094095" w:rsidRPr="00661F7F" w:rsidRDefault="00C05A5C"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36"/>
                <w:szCs w:val="36"/>
              </w:rPr>
              <w:t>□</w:t>
            </w:r>
            <w:r w:rsidR="00094095" w:rsidRPr="00661F7F">
              <w:rPr>
                <w:rFonts w:ascii="Times New Roman" w:eastAsia="宋体" w:hAnsi="Times New Roman" w:cs="Times New Roman"/>
                <w:sz w:val="24"/>
                <w:szCs w:val="24"/>
              </w:rPr>
              <w:t>5</w:t>
            </w:r>
            <w:r w:rsidR="00094095" w:rsidRPr="00661F7F">
              <w:rPr>
                <w:rFonts w:ascii="Times New Roman" w:eastAsia="宋体" w:hAnsi="Times New Roman" w:cs="Times New Roman"/>
                <w:sz w:val="24"/>
                <w:szCs w:val="24"/>
              </w:rPr>
              <w:t>、参与集中的经营者收购境外企业股权或资产的，该境外企业不在中国境内从事经济活动。</w:t>
            </w:r>
          </w:p>
        </w:tc>
      </w:tr>
      <w:tr w:rsidR="00094095" w:rsidRPr="00661F7F" w:rsidTr="00AB0B34">
        <w:trPr>
          <w:trHeight w:val="345"/>
        </w:trPr>
        <w:tc>
          <w:tcPr>
            <w:tcW w:w="1809" w:type="dxa"/>
            <w:vMerge/>
            <w:shd w:val="clear" w:color="auto" w:fill="D9D9D9" w:themeFill="background1" w:themeFillShade="D9"/>
          </w:tcPr>
          <w:p w:rsidR="00094095" w:rsidRPr="00661F7F" w:rsidRDefault="00094095" w:rsidP="00AB0B34">
            <w:pPr>
              <w:spacing w:line="500" w:lineRule="exact"/>
              <w:rPr>
                <w:rFonts w:ascii="Times New Roman" w:eastAsia="宋体" w:hAnsi="Times New Roman" w:cs="Times New Roman"/>
                <w:sz w:val="24"/>
                <w:szCs w:val="24"/>
              </w:rPr>
            </w:pPr>
          </w:p>
        </w:tc>
        <w:tc>
          <w:tcPr>
            <w:tcW w:w="6949" w:type="dxa"/>
            <w:gridSpan w:val="2"/>
          </w:tcPr>
          <w:p w:rsidR="00094095" w:rsidRPr="00661F7F" w:rsidRDefault="00C05A5C" w:rsidP="00967E9B">
            <w:pPr>
              <w:spacing w:beforeLines="50" w:before="156" w:afterLines="50" w:after="156" w:line="400" w:lineRule="exact"/>
              <w:rPr>
                <w:rFonts w:ascii="Times New Roman" w:eastAsia="宋体" w:hAnsi="Times New Roman" w:cs="Times New Roman"/>
                <w:sz w:val="24"/>
                <w:szCs w:val="24"/>
              </w:rPr>
            </w:pPr>
            <w:r w:rsidRPr="00661F7F">
              <w:rPr>
                <w:rFonts w:ascii="Times New Roman" w:eastAsia="宋体" w:hAnsi="Times New Roman" w:cs="Times New Roman"/>
                <w:sz w:val="36"/>
                <w:szCs w:val="36"/>
              </w:rPr>
              <w:t>□</w:t>
            </w:r>
            <w:r w:rsidR="00094095" w:rsidRPr="00661F7F">
              <w:rPr>
                <w:rFonts w:ascii="Times New Roman" w:eastAsia="宋体" w:hAnsi="Times New Roman" w:cs="Times New Roman"/>
                <w:sz w:val="24"/>
                <w:szCs w:val="24"/>
              </w:rPr>
              <w:t>6</w:t>
            </w:r>
            <w:r w:rsidR="00094095" w:rsidRPr="00661F7F">
              <w:rPr>
                <w:rFonts w:ascii="Times New Roman" w:eastAsia="宋体" w:hAnsi="Times New Roman" w:cs="Times New Roman"/>
                <w:sz w:val="24"/>
                <w:szCs w:val="24"/>
              </w:rPr>
              <w:t>、由两个以上的经营者共同控制的合营企业，通过集中被其中一个或一个以上经营者控制。</w:t>
            </w:r>
          </w:p>
        </w:tc>
      </w:tr>
      <w:tr w:rsidR="00094095" w:rsidRPr="00661F7F" w:rsidTr="00AB0B34">
        <w:tc>
          <w:tcPr>
            <w:tcW w:w="1809" w:type="dxa"/>
            <w:shd w:val="clear" w:color="auto" w:fill="D9D9D9" w:themeFill="background1" w:themeFillShade="D9"/>
          </w:tcPr>
          <w:p w:rsidR="00094095" w:rsidRPr="00661F7F" w:rsidRDefault="00094095" w:rsidP="00967E9B">
            <w:pPr>
              <w:widowControl/>
              <w:snapToGrid w:val="0"/>
              <w:spacing w:beforeLines="50" w:before="156" w:afterLines="50" w:after="156" w:line="400" w:lineRule="exact"/>
              <w:jc w:val="left"/>
              <w:rPr>
                <w:rFonts w:ascii="Times New Roman" w:eastAsia="宋体" w:hAnsi="Times New Roman" w:cs="Times New Roman"/>
                <w:sz w:val="24"/>
                <w:szCs w:val="24"/>
              </w:rPr>
            </w:pPr>
            <w:r w:rsidRPr="00661F7F">
              <w:rPr>
                <w:rFonts w:ascii="Times New Roman" w:eastAsia="宋体" w:hAnsi="Times New Roman" w:cs="Times New Roman"/>
                <w:sz w:val="24"/>
                <w:szCs w:val="24"/>
              </w:rPr>
              <w:t>备注</w:t>
            </w:r>
          </w:p>
        </w:tc>
        <w:tc>
          <w:tcPr>
            <w:tcW w:w="6949" w:type="dxa"/>
            <w:gridSpan w:val="2"/>
          </w:tcPr>
          <w:p w:rsidR="00275A3D" w:rsidRPr="00661F7F" w:rsidRDefault="00275A3D" w:rsidP="00967E9B">
            <w:pPr>
              <w:widowControl/>
              <w:snapToGrid w:val="0"/>
              <w:spacing w:beforeLines="50" w:before="156" w:afterLines="50" w:after="156" w:line="400" w:lineRule="exact"/>
              <w:jc w:val="left"/>
              <w:rPr>
                <w:rFonts w:ascii="Times New Roman" w:eastAsia="宋体" w:hAnsi="Times New Roman" w:cs="Times New Roman"/>
                <w:sz w:val="24"/>
                <w:szCs w:val="24"/>
              </w:rPr>
            </w:pPr>
            <w:r w:rsidRPr="00661F7F">
              <w:rPr>
                <w:rFonts w:ascii="Times New Roman" w:eastAsia="宋体" w:hAnsi="Times New Roman" w:cs="Times New Roman"/>
                <w:sz w:val="24"/>
                <w:szCs w:val="24"/>
              </w:rPr>
              <w:t>本项交易涉及以下相关市场：</w:t>
            </w:r>
          </w:p>
          <w:p w:rsidR="00207E74" w:rsidRPr="00661F7F" w:rsidRDefault="00207E74" w:rsidP="00967E9B">
            <w:pPr>
              <w:widowControl/>
              <w:snapToGrid w:val="0"/>
              <w:spacing w:beforeLines="50" w:before="156" w:afterLines="50" w:after="156" w:line="400" w:lineRule="exact"/>
              <w:jc w:val="left"/>
              <w:rPr>
                <w:rFonts w:ascii="Times New Roman" w:eastAsia="宋体" w:hAnsi="Times New Roman" w:cs="Times New Roman"/>
                <w:sz w:val="24"/>
                <w:szCs w:val="24"/>
              </w:rPr>
            </w:pPr>
            <w:r w:rsidRPr="00661F7F">
              <w:rPr>
                <w:rFonts w:ascii="Times New Roman" w:eastAsia="宋体" w:hAnsi="Times New Roman" w:cs="Times New Roman"/>
                <w:sz w:val="24"/>
                <w:szCs w:val="24"/>
              </w:rPr>
              <w:t>产品市场：</w:t>
            </w:r>
            <w:r w:rsidR="009A68EB">
              <w:rPr>
                <w:rFonts w:ascii="Times New Roman" w:eastAsia="宋体" w:hAnsi="Times New Roman" w:cs="Times New Roman" w:hint="eastAsia"/>
                <w:sz w:val="24"/>
                <w:szCs w:val="24"/>
              </w:rPr>
              <w:t>通用仓库</w:t>
            </w:r>
            <w:r w:rsidRPr="00661F7F">
              <w:rPr>
                <w:rFonts w:ascii="Times New Roman" w:eastAsia="宋体" w:hAnsi="Times New Roman" w:cs="Times New Roman"/>
                <w:sz w:val="24"/>
                <w:szCs w:val="24"/>
              </w:rPr>
              <w:t>的开发及租赁。</w:t>
            </w:r>
          </w:p>
          <w:p w:rsidR="002A5F57" w:rsidRPr="00661F7F" w:rsidRDefault="002A5F57" w:rsidP="00967E9B">
            <w:pPr>
              <w:widowControl/>
              <w:snapToGrid w:val="0"/>
              <w:spacing w:beforeLines="50" w:before="156" w:afterLines="50" w:after="156" w:line="400" w:lineRule="exact"/>
              <w:jc w:val="left"/>
              <w:rPr>
                <w:rFonts w:ascii="Times New Roman" w:eastAsia="宋体" w:hAnsi="Times New Roman" w:cs="Times New Roman"/>
                <w:sz w:val="24"/>
                <w:szCs w:val="24"/>
              </w:rPr>
            </w:pPr>
            <w:r w:rsidRPr="00661F7F">
              <w:rPr>
                <w:rFonts w:ascii="Times New Roman" w:eastAsia="宋体" w:hAnsi="Times New Roman" w:cs="Times New Roman"/>
                <w:sz w:val="24"/>
                <w:szCs w:val="24"/>
              </w:rPr>
              <w:t>地域市场</w:t>
            </w:r>
            <w:r w:rsidR="00ED1CF4" w:rsidRPr="00661F7F">
              <w:rPr>
                <w:rFonts w:ascii="Times New Roman" w:eastAsia="宋体" w:hAnsi="Times New Roman" w:cs="Times New Roman"/>
                <w:sz w:val="24"/>
                <w:szCs w:val="24"/>
              </w:rPr>
              <w:t>：</w:t>
            </w:r>
            <w:r w:rsidR="009A68EB">
              <w:rPr>
                <w:rFonts w:ascii="Times New Roman" w:eastAsia="宋体" w:hAnsi="Times New Roman" w:cs="Times New Roman" w:hint="eastAsia"/>
                <w:sz w:val="24"/>
                <w:szCs w:val="24"/>
              </w:rPr>
              <w:t>太原市和晋中市</w:t>
            </w:r>
            <w:r w:rsidR="00100C28">
              <w:rPr>
                <w:rFonts w:ascii="Times New Roman" w:eastAsia="宋体" w:hAnsi="Times New Roman" w:cs="Times New Roman" w:hint="eastAsia"/>
                <w:sz w:val="24"/>
                <w:szCs w:val="24"/>
              </w:rPr>
              <w:t>。</w:t>
            </w:r>
          </w:p>
          <w:p w:rsidR="00855AAA" w:rsidRPr="00661F7F" w:rsidRDefault="00663A96" w:rsidP="00967E9B">
            <w:pPr>
              <w:widowControl/>
              <w:snapToGrid w:val="0"/>
              <w:spacing w:beforeLines="50" w:before="156" w:afterLines="50" w:after="156" w:line="400" w:lineRule="exact"/>
              <w:jc w:val="left"/>
              <w:rPr>
                <w:rFonts w:ascii="Times New Roman" w:eastAsia="宋体" w:hAnsi="Times New Roman" w:cs="Times New Roman"/>
                <w:sz w:val="24"/>
                <w:szCs w:val="24"/>
              </w:rPr>
            </w:pPr>
            <w:r>
              <w:rPr>
                <w:rFonts w:ascii="Times New Roman" w:eastAsia="宋体" w:hAnsi="Times New Roman" w:cs="Times New Roman"/>
                <w:sz w:val="24"/>
                <w:szCs w:val="24"/>
              </w:rPr>
              <w:t>市场份额：</w:t>
            </w:r>
            <w:r w:rsidR="00967E9B">
              <w:rPr>
                <w:rFonts w:ascii="Times New Roman" w:eastAsia="宋体" w:hAnsi="Times New Roman" w:cs="Times New Roman" w:hint="eastAsia"/>
                <w:sz w:val="24"/>
                <w:szCs w:val="24"/>
              </w:rPr>
              <w:t>合营企业</w:t>
            </w:r>
            <w:bookmarkStart w:id="0" w:name="_GoBack"/>
            <w:bookmarkEnd w:id="0"/>
            <w:r w:rsidR="00100C28">
              <w:rPr>
                <w:rFonts w:ascii="Times New Roman" w:eastAsia="宋体" w:hAnsi="Times New Roman" w:cs="Times New Roman" w:hint="eastAsia"/>
                <w:sz w:val="24"/>
                <w:szCs w:val="24"/>
              </w:rPr>
              <w:t>为</w:t>
            </w:r>
            <w:r w:rsidR="00100C28">
              <w:rPr>
                <w:rFonts w:ascii="Times New Roman" w:eastAsia="宋体" w:hAnsi="Times New Roman" w:cs="Times New Roman" w:hint="eastAsia"/>
                <w:sz w:val="24"/>
                <w:szCs w:val="24"/>
              </w:rPr>
              <w:t>0%~5%</w:t>
            </w:r>
            <w:r w:rsidR="003244F7" w:rsidRPr="00661F7F">
              <w:rPr>
                <w:rFonts w:ascii="Times New Roman" w:eastAsia="宋体" w:hAnsi="Times New Roman" w:cs="Times New Roman"/>
                <w:sz w:val="24"/>
                <w:szCs w:val="24"/>
              </w:rPr>
              <w:t>。</w:t>
            </w:r>
          </w:p>
        </w:tc>
      </w:tr>
    </w:tbl>
    <w:p w:rsidR="00F87C1F" w:rsidRDefault="00F87C1F" w:rsidP="002F1D1F">
      <w:pPr>
        <w:widowControl/>
        <w:shd w:val="clear" w:color="auto" w:fill="FFFFFF"/>
        <w:spacing w:line="375" w:lineRule="atLeast"/>
        <w:jc w:val="left"/>
        <w:rPr>
          <w:rFonts w:ascii="仿宋_GB2312" w:eastAsia="仿宋_GB2312" w:hAnsi="Times New Roman" w:cs="Times New Roman"/>
          <w:sz w:val="28"/>
          <w:szCs w:val="28"/>
        </w:rPr>
      </w:pPr>
    </w:p>
    <w:p w:rsidR="00ED1CF4" w:rsidRPr="00BB2377" w:rsidRDefault="00ED1CF4" w:rsidP="00ED1CF4">
      <w:pPr>
        <w:snapToGrid w:val="0"/>
        <w:spacing w:line="240" w:lineRule="exact"/>
        <w:jc w:val="left"/>
        <w:rPr>
          <w:rFonts w:ascii="楷体_GB2312" w:eastAsia="楷体_GB2312" w:hAnsi="宋体"/>
          <w:sz w:val="24"/>
          <w:szCs w:val="24"/>
        </w:rPr>
      </w:pPr>
      <w:r w:rsidRPr="00BB2377">
        <w:rPr>
          <w:rFonts w:ascii="楷体_GB2312" w:eastAsia="楷体_GB2312" w:hAnsi="宋体" w:hint="eastAsia"/>
          <w:sz w:val="24"/>
          <w:szCs w:val="24"/>
        </w:rPr>
        <w:t>注解：</w:t>
      </w:r>
    </w:p>
    <w:p w:rsidR="00ED1CF4" w:rsidRPr="00BB2377" w:rsidRDefault="00ED1CF4" w:rsidP="00ED1CF4">
      <w:pPr>
        <w:snapToGrid w:val="0"/>
        <w:spacing w:line="360" w:lineRule="auto"/>
        <w:ind w:firstLineChars="200" w:firstLine="480"/>
        <w:jc w:val="left"/>
        <w:rPr>
          <w:rFonts w:ascii="楷体_GB2312" w:eastAsia="楷体_GB2312" w:hAnsi="宋体"/>
          <w:sz w:val="24"/>
          <w:szCs w:val="24"/>
        </w:rPr>
      </w:pPr>
      <w:r w:rsidRPr="00BB2377">
        <w:rPr>
          <w:rFonts w:ascii="楷体_GB2312" w:eastAsia="楷体_GB2312" w:hAnsi="宋体" w:hint="eastAsia"/>
          <w:sz w:val="24"/>
          <w:szCs w:val="24"/>
        </w:rPr>
        <w:t>1、申报方申请简易案件的理由是基于1-3项时，须在备注中说明界定的相关商品市场和相关地域市场（无须阐述界定理由），以及相关市场份额；市场份额可以区间形式提供，区间幅度不应超过5%。1-3项可以多选，也可单选；</w:t>
      </w:r>
      <w:proofErr w:type="gramStart"/>
      <w:r w:rsidRPr="00BB2377">
        <w:rPr>
          <w:rFonts w:ascii="楷体_GB2312" w:eastAsia="楷体_GB2312" w:hAnsi="宋体" w:hint="eastAsia"/>
          <w:sz w:val="24"/>
          <w:szCs w:val="24"/>
        </w:rPr>
        <w:t>没有勾选的</w:t>
      </w:r>
      <w:proofErr w:type="gramEnd"/>
      <w:r w:rsidRPr="00BB2377">
        <w:rPr>
          <w:rFonts w:ascii="楷体_GB2312" w:eastAsia="楷体_GB2312" w:hAnsi="宋体" w:hint="eastAsia"/>
          <w:sz w:val="24"/>
          <w:szCs w:val="24"/>
        </w:rPr>
        <w:t>，视为本集中不涉及该类型交易。</w:t>
      </w:r>
    </w:p>
    <w:p w:rsidR="00E92062" w:rsidRPr="00ED1CF4" w:rsidRDefault="00ED1CF4" w:rsidP="00ED1CF4">
      <w:pPr>
        <w:spacing w:line="360" w:lineRule="auto"/>
        <w:ind w:firstLineChars="200" w:firstLine="480"/>
        <w:rPr>
          <w:rFonts w:ascii="楷体_GB2312" w:eastAsia="楷体_GB2312" w:hAnsi="Times New Roman"/>
          <w:sz w:val="28"/>
          <w:szCs w:val="28"/>
        </w:rPr>
      </w:pPr>
      <w:r w:rsidRPr="00BB2377">
        <w:rPr>
          <w:rFonts w:ascii="楷体_GB2312" w:eastAsia="楷体_GB2312" w:hAnsi="宋体" w:hint="eastAsia"/>
          <w:sz w:val="24"/>
          <w:szCs w:val="24"/>
        </w:rPr>
        <w:t>2、申报方申请简易案件的理由是基于第4项、第5项时，无须在备注中说明相关市场和市场份额。</w:t>
      </w:r>
      <w:r w:rsidRPr="00BB2377">
        <w:rPr>
          <w:rFonts w:ascii="楷体_GB2312" w:eastAsia="楷体_GB2312" w:hAnsi="宋体" w:hint="eastAsia"/>
          <w:sz w:val="24"/>
          <w:szCs w:val="24"/>
        </w:rPr>
        <w:br/>
        <w:t xml:space="preserve">    3、由两个或两个以上经营者共同控制的合营企业，通过集中被其中的一个经营者控制，如果该经营者与合营企业属于同一相关市场的竞争者，则申报方在申请简易案件时，须</w:t>
      </w:r>
      <w:proofErr w:type="gramStart"/>
      <w:r w:rsidRPr="00BB2377">
        <w:rPr>
          <w:rFonts w:ascii="楷体_GB2312" w:eastAsia="楷体_GB2312" w:hAnsi="宋体" w:hint="eastAsia"/>
          <w:sz w:val="24"/>
          <w:szCs w:val="24"/>
        </w:rPr>
        <w:t>同时勾选第1项</w:t>
      </w:r>
      <w:proofErr w:type="gramEnd"/>
      <w:r w:rsidRPr="00BB2377">
        <w:rPr>
          <w:rFonts w:ascii="楷体_GB2312" w:eastAsia="楷体_GB2312" w:hAnsi="宋体" w:hint="eastAsia"/>
          <w:sz w:val="24"/>
          <w:szCs w:val="24"/>
        </w:rPr>
        <w:t>和第6项理由，并在备注中说明界定的相关商品市场和相关地域市场（无须阐述界定理由），以及相关市场份额。市场份额可以区间形式提供，区间幅度不应超过5%。</w:t>
      </w:r>
    </w:p>
    <w:sectPr w:rsidR="00E92062" w:rsidRPr="00ED1CF4" w:rsidSect="00701E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A5" w:rsidRDefault="008722A5" w:rsidP="00094095">
      <w:r>
        <w:separator/>
      </w:r>
    </w:p>
  </w:endnote>
  <w:endnote w:type="continuationSeparator" w:id="0">
    <w:p w:rsidR="008722A5" w:rsidRDefault="008722A5" w:rsidP="0009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A5" w:rsidRDefault="008722A5" w:rsidP="00094095">
      <w:r>
        <w:separator/>
      </w:r>
    </w:p>
  </w:footnote>
  <w:footnote w:type="continuationSeparator" w:id="0">
    <w:p w:rsidR="008722A5" w:rsidRDefault="008722A5" w:rsidP="0009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953"/>
    <w:multiLevelType w:val="hybridMultilevel"/>
    <w:tmpl w:val="F976BD22"/>
    <w:lvl w:ilvl="0" w:tplc="FE1AB7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376668"/>
    <w:multiLevelType w:val="hybridMultilevel"/>
    <w:tmpl w:val="F976BD22"/>
    <w:lvl w:ilvl="0" w:tplc="FE1AB7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4095"/>
    <w:rsid w:val="00005696"/>
    <w:rsid w:val="00030D29"/>
    <w:rsid w:val="00033A90"/>
    <w:rsid w:val="000439DF"/>
    <w:rsid w:val="00043E4A"/>
    <w:rsid w:val="00045B51"/>
    <w:rsid w:val="000723FA"/>
    <w:rsid w:val="00094095"/>
    <w:rsid w:val="000B3DCC"/>
    <w:rsid w:val="000B5D37"/>
    <w:rsid w:val="000E5321"/>
    <w:rsid w:val="00100C28"/>
    <w:rsid w:val="001524B9"/>
    <w:rsid w:val="001767D1"/>
    <w:rsid w:val="001D1443"/>
    <w:rsid w:val="001D7ED0"/>
    <w:rsid w:val="001F5F0B"/>
    <w:rsid w:val="002019A9"/>
    <w:rsid w:val="00207E74"/>
    <w:rsid w:val="002120A3"/>
    <w:rsid w:val="00241CE5"/>
    <w:rsid w:val="002524D7"/>
    <w:rsid w:val="00275A3D"/>
    <w:rsid w:val="00293095"/>
    <w:rsid w:val="002A5F57"/>
    <w:rsid w:val="002D762D"/>
    <w:rsid w:val="002E2893"/>
    <w:rsid w:val="002F1D1F"/>
    <w:rsid w:val="003244F7"/>
    <w:rsid w:val="0036691B"/>
    <w:rsid w:val="003D3A30"/>
    <w:rsid w:val="00426458"/>
    <w:rsid w:val="00430537"/>
    <w:rsid w:val="00431AFE"/>
    <w:rsid w:val="00437B6E"/>
    <w:rsid w:val="00452171"/>
    <w:rsid w:val="00462174"/>
    <w:rsid w:val="004A1DAC"/>
    <w:rsid w:val="004A7139"/>
    <w:rsid w:val="004D47CE"/>
    <w:rsid w:val="004E4898"/>
    <w:rsid w:val="004E77F9"/>
    <w:rsid w:val="0051672F"/>
    <w:rsid w:val="005241C9"/>
    <w:rsid w:val="00535D98"/>
    <w:rsid w:val="00546866"/>
    <w:rsid w:val="00554252"/>
    <w:rsid w:val="00580FA9"/>
    <w:rsid w:val="00592EDB"/>
    <w:rsid w:val="005A6F4D"/>
    <w:rsid w:val="005B65F3"/>
    <w:rsid w:val="005C3B77"/>
    <w:rsid w:val="005C492B"/>
    <w:rsid w:val="0061324E"/>
    <w:rsid w:val="006260D6"/>
    <w:rsid w:val="006276BC"/>
    <w:rsid w:val="00634708"/>
    <w:rsid w:val="00635C19"/>
    <w:rsid w:val="00637C57"/>
    <w:rsid w:val="00661F7F"/>
    <w:rsid w:val="00663A96"/>
    <w:rsid w:val="006652D0"/>
    <w:rsid w:val="006846BF"/>
    <w:rsid w:val="006A6AC4"/>
    <w:rsid w:val="006F679A"/>
    <w:rsid w:val="00701EA9"/>
    <w:rsid w:val="0071096B"/>
    <w:rsid w:val="00757FB5"/>
    <w:rsid w:val="007722D1"/>
    <w:rsid w:val="00786977"/>
    <w:rsid w:val="00790721"/>
    <w:rsid w:val="00797FFA"/>
    <w:rsid w:val="007B16FF"/>
    <w:rsid w:val="007B6451"/>
    <w:rsid w:val="007E54AC"/>
    <w:rsid w:val="007E5FD7"/>
    <w:rsid w:val="00840197"/>
    <w:rsid w:val="00855AAA"/>
    <w:rsid w:val="008722A5"/>
    <w:rsid w:val="0087560B"/>
    <w:rsid w:val="008A0C9F"/>
    <w:rsid w:val="00900987"/>
    <w:rsid w:val="009119FA"/>
    <w:rsid w:val="00967E9B"/>
    <w:rsid w:val="009A68EB"/>
    <w:rsid w:val="00A522F2"/>
    <w:rsid w:val="00A827A2"/>
    <w:rsid w:val="00A95A4A"/>
    <w:rsid w:val="00A96E74"/>
    <w:rsid w:val="00A97190"/>
    <w:rsid w:val="00AA2EDD"/>
    <w:rsid w:val="00AB0B34"/>
    <w:rsid w:val="00AB68C0"/>
    <w:rsid w:val="00AC623B"/>
    <w:rsid w:val="00AD5434"/>
    <w:rsid w:val="00AF57E8"/>
    <w:rsid w:val="00B14A60"/>
    <w:rsid w:val="00B4623D"/>
    <w:rsid w:val="00B51185"/>
    <w:rsid w:val="00B709A7"/>
    <w:rsid w:val="00B83847"/>
    <w:rsid w:val="00BA6397"/>
    <w:rsid w:val="00BC4CF0"/>
    <w:rsid w:val="00BE2C6B"/>
    <w:rsid w:val="00BE7873"/>
    <w:rsid w:val="00C03C0F"/>
    <w:rsid w:val="00C05A5C"/>
    <w:rsid w:val="00C077F7"/>
    <w:rsid w:val="00C52739"/>
    <w:rsid w:val="00CA3DFA"/>
    <w:rsid w:val="00CA4C4F"/>
    <w:rsid w:val="00CB768D"/>
    <w:rsid w:val="00CC1F71"/>
    <w:rsid w:val="00CD497E"/>
    <w:rsid w:val="00D31711"/>
    <w:rsid w:val="00D74C01"/>
    <w:rsid w:val="00D97082"/>
    <w:rsid w:val="00DA1B9F"/>
    <w:rsid w:val="00DA2E43"/>
    <w:rsid w:val="00DD0E3B"/>
    <w:rsid w:val="00DE7A9D"/>
    <w:rsid w:val="00E01490"/>
    <w:rsid w:val="00E157A0"/>
    <w:rsid w:val="00E2036E"/>
    <w:rsid w:val="00E256CD"/>
    <w:rsid w:val="00E32CC6"/>
    <w:rsid w:val="00E47FEA"/>
    <w:rsid w:val="00E526C1"/>
    <w:rsid w:val="00E5321F"/>
    <w:rsid w:val="00E62773"/>
    <w:rsid w:val="00E6529B"/>
    <w:rsid w:val="00E679D3"/>
    <w:rsid w:val="00E92062"/>
    <w:rsid w:val="00E9231C"/>
    <w:rsid w:val="00E929CE"/>
    <w:rsid w:val="00E941FA"/>
    <w:rsid w:val="00EB7C86"/>
    <w:rsid w:val="00ED1CF4"/>
    <w:rsid w:val="00EE4A8B"/>
    <w:rsid w:val="00EF38D3"/>
    <w:rsid w:val="00EF65B7"/>
    <w:rsid w:val="00F52CDE"/>
    <w:rsid w:val="00F72E3C"/>
    <w:rsid w:val="00F74B7D"/>
    <w:rsid w:val="00F87C1F"/>
    <w:rsid w:val="00FA4325"/>
    <w:rsid w:val="00FA64CA"/>
    <w:rsid w:val="00FB1A80"/>
    <w:rsid w:val="00FB5B2B"/>
    <w:rsid w:val="00FC398E"/>
    <w:rsid w:val="00FF6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uiPriority w:val="99"/>
    <w:semiHidden/>
    <w:unhideWhenUsed/>
    <w:rsid w:val="00094095"/>
    <w:pPr>
      <w:snapToGrid w:val="0"/>
      <w:jc w:val="left"/>
    </w:pPr>
  </w:style>
  <w:style w:type="character" w:customStyle="1" w:styleId="Char">
    <w:name w:val="尾注文本 Char"/>
    <w:basedOn w:val="a0"/>
    <w:link w:val="a4"/>
    <w:uiPriority w:val="99"/>
    <w:semiHidden/>
    <w:rsid w:val="00094095"/>
  </w:style>
  <w:style w:type="character" w:styleId="a5">
    <w:name w:val="endnote reference"/>
    <w:basedOn w:val="a0"/>
    <w:uiPriority w:val="99"/>
    <w:semiHidden/>
    <w:unhideWhenUsed/>
    <w:rsid w:val="00094095"/>
    <w:rPr>
      <w:vertAlign w:val="superscript"/>
    </w:rPr>
  </w:style>
  <w:style w:type="paragraph" w:styleId="a6">
    <w:name w:val="header"/>
    <w:basedOn w:val="a"/>
    <w:link w:val="Char0"/>
    <w:uiPriority w:val="99"/>
    <w:unhideWhenUsed/>
    <w:rsid w:val="00AB0B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B0B34"/>
    <w:rPr>
      <w:sz w:val="18"/>
      <w:szCs w:val="18"/>
    </w:rPr>
  </w:style>
  <w:style w:type="paragraph" w:styleId="a7">
    <w:name w:val="footer"/>
    <w:basedOn w:val="a"/>
    <w:link w:val="Char1"/>
    <w:uiPriority w:val="99"/>
    <w:unhideWhenUsed/>
    <w:rsid w:val="00AB0B34"/>
    <w:pPr>
      <w:tabs>
        <w:tab w:val="center" w:pos="4153"/>
        <w:tab w:val="right" w:pos="8306"/>
      </w:tabs>
      <w:snapToGrid w:val="0"/>
      <w:jc w:val="left"/>
    </w:pPr>
    <w:rPr>
      <w:sz w:val="18"/>
      <w:szCs w:val="18"/>
    </w:rPr>
  </w:style>
  <w:style w:type="character" w:customStyle="1" w:styleId="Char1">
    <w:name w:val="页脚 Char"/>
    <w:basedOn w:val="a0"/>
    <w:link w:val="a7"/>
    <w:uiPriority w:val="99"/>
    <w:rsid w:val="00AB0B34"/>
    <w:rPr>
      <w:sz w:val="18"/>
      <w:szCs w:val="18"/>
    </w:rPr>
  </w:style>
  <w:style w:type="paragraph" w:styleId="a8">
    <w:name w:val="List Paragraph"/>
    <w:basedOn w:val="a"/>
    <w:uiPriority w:val="34"/>
    <w:qFormat/>
    <w:rsid w:val="00B4623D"/>
    <w:pPr>
      <w:ind w:firstLineChars="200" w:firstLine="420"/>
    </w:pPr>
  </w:style>
  <w:style w:type="character" w:styleId="a9">
    <w:name w:val="Hyperlink"/>
    <w:basedOn w:val="a0"/>
    <w:uiPriority w:val="99"/>
    <w:semiHidden/>
    <w:unhideWhenUsed/>
    <w:rsid w:val="00FA64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uiPriority w:val="99"/>
    <w:semiHidden/>
    <w:unhideWhenUsed/>
    <w:rsid w:val="00094095"/>
    <w:pPr>
      <w:snapToGrid w:val="0"/>
      <w:jc w:val="left"/>
    </w:pPr>
  </w:style>
  <w:style w:type="character" w:customStyle="1" w:styleId="Char">
    <w:name w:val="尾注文本 Char"/>
    <w:basedOn w:val="a0"/>
    <w:link w:val="a4"/>
    <w:uiPriority w:val="99"/>
    <w:semiHidden/>
    <w:rsid w:val="00094095"/>
  </w:style>
  <w:style w:type="character" w:styleId="a5">
    <w:name w:val="endnote reference"/>
    <w:basedOn w:val="a0"/>
    <w:uiPriority w:val="99"/>
    <w:semiHidden/>
    <w:unhideWhenUsed/>
    <w:rsid w:val="00094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2725">
      <w:bodyDiv w:val="1"/>
      <w:marLeft w:val="0"/>
      <w:marRight w:val="0"/>
      <w:marTop w:val="0"/>
      <w:marBottom w:val="0"/>
      <w:divBdr>
        <w:top w:val="none" w:sz="0" w:space="0" w:color="auto"/>
        <w:left w:val="none" w:sz="0" w:space="0" w:color="auto"/>
        <w:bottom w:val="none" w:sz="0" w:space="0" w:color="auto"/>
        <w:right w:val="none" w:sz="0" w:space="0" w:color="auto"/>
      </w:divBdr>
      <w:divsChild>
        <w:div w:id="1298612230">
          <w:marLeft w:val="0"/>
          <w:marRight w:val="0"/>
          <w:marTop w:val="0"/>
          <w:marBottom w:val="0"/>
          <w:divBdr>
            <w:top w:val="none" w:sz="0" w:space="0" w:color="auto"/>
            <w:left w:val="none" w:sz="0" w:space="0" w:color="auto"/>
            <w:bottom w:val="none" w:sz="0" w:space="0" w:color="auto"/>
            <w:right w:val="none" w:sz="0" w:space="0" w:color="auto"/>
          </w:divBdr>
        </w:div>
        <w:div w:id="1025981081">
          <w:marLeft w:val="0"/>
          <w:marRight w:val="0"/>
          <w:marTop w:val="0"/>
          <w:marBottom w:val="0"/>
          <w:divBdr>
            <w:top w:val="none" w:sz="0" w:space="0" w:color="auto"/>
            <w:left w:val="none" w:sz="0" w:space="0" w:color="auto"/>
            <w:bottom w:val="none" w:sz="0" w:space="0" w:color="auto"/>
            <w:right w:val="none" w:sz="0" w:space="0" w:color="auto"/>
          </w:divBdr>
        </w:div>
      </w:divsChild>
    </w:div>
    <w:div w:id="761992699">
      <w:bodyDiv w:val="1"/>
      <w:marLeft w:val="0"/>
      <w:marRight w:val="0"/>
      <w:marTop w:val="0"/>
      <w:marBottom w:val="0"/>
      <w:divBdr>
        <w:top w:val="none" w:sz="0" w:space="0" w:color="auto"/>
        <w:left w:val="none" w:sz="0" w:space="0" w:color="auto"/>
        <w:bottom w:val="none" w:sz="0" w:space="0" w:color="auto"/>
        <w:right w:val="none" w:sz="0" w:space="0" w:color="auto"/>
      </w:divBdr>
      <w:divsChild>
        <w:div w:id="2016372676">
          <w:marLeft w:val="0"/>
          <w:marRight w:val="0"/>
          <w:marTop w:val="0"/>
          <w:marBottom w:val="0"/>
          <w:divBdr>
            <w:top w:val="none" w:sz="0" w:space="0" w:color="auto"/>
            <w:left w:val="none" w:sz="0" w:space="0" w:color="auto"/>
            <w:bottom w:val="none" w:sz="0" w:space="0" w:color="auto"/>
            <w:right w:val="none" w:sz="0" w:space="0" w:color="auto"/>
          </w:divBdr>
        </w:div>
        <w:div w:id="182453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90B7-92F9-499C-B8E1-3CE9F069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178</Words>
  <Characters>1015</Characters>
  <Application>Microsoft Office Word</Application>
  <DocSecurity>0</DocSecurity>
  <Lines>8</Lines>
  <Paragraphs>2</Paragraphs>
  <ScaleCrop>false</ScaleCrop>
  <Company>Microsoft</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14</cp:revision>
  <dcterms:created xsi:type="dcterms:W3CDTF">2015-12-22T02:07:00Z</dcterms:created>
  <dcterms:modified xsi:type="dcterms:W3CDTF">2016-11-18T09:42:00Z</dcterms:modified>
</cp:coreProperties>
</file>