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A8" w:rsidRDefault="00FD77A8" w:rsidP="00094095">
      <w:pPr>
        <w:spacing w:line="440" w:lineRule="exact"/>
        <w:jc w:val="center"/>
        <w:rPr>
          <w:rFonts w:ascii="仿宋_GB2312" w:eastAsia="仿宋_GB2312" w:hAnsi="Times New Roman"/>
          <w:sz w:val="28"/>
          <w:szCs w:val="28"/>
        </w:rPr>
      </w:pPr>
      <w:bookmarkStart w:id="0" w:name="_GoBack"/>
    </w:p>
    <w:p w:rsidR="00094095" w:rsidRPr="008E7B8C" w:rsidRDefault="00094095" w:rsidP="00094095">
      <w:pPr>
        <w:spacing w:line="440" w:lineRule="exact"/>
        <w:jc w:val="center"/>
        <w:rPr>
          <w:rFonts w:ascii="黑体" w:eastAsia="黑体" w:hAnsi="Times New Roman"/>
          <w:sz w:val="30"/>
          <w:szCs w:val="30"/>
        </w:rPr>
      </w:pPr>
      <w:r w:rsidRPr="00202C4C">
        <w:rPr>
          <w:rFonts w:ascii="黑体" w:eastAsia="黑体" w:hAnsi="Times New Roman" w:hint="eastAsia"/>
          <w:sz w:val="30"/>
          <w:szCs w:val="30"/>
        </w:rPr>
        <w:t>经营者集中简易案件公示表</w:t>
      </w:r>
    </w:p>
    <w:bookmarkEnd w:id="0"/>
    <w:p w:rsidR="00094095" w:rsidRPr="00FD77A8" w:rsidRDefault="00094095" w:rsidP="00094095">
      <w:pPr>
        <w:spacing w:line="440" w:lineRule="exact"/>
        <w:rPr>
          <w:rFonts w:ascii="黑体" w:eastAsia="黑体" w:hAnsi="Times New Roman"/>
          <w:sz w:val="28"/>
          <w:szCs w:val="28"/>
        </w:rPr>
      </w:pPr>
    </w:p>
    <w:p w:rsidR="00094095" w:rsidRPr="00BA1596" w:rsidRDefault="00094095" w:rsidP="00094095">
      <w:pPr>
        <w:spacing w:line="440" w:lineRule="exact"/>
        <w:ind w:firstLineChars="302" w:firstLine="846"/>
        <w:rPr>
          <w:rFonts w:ascii="仿宋_GB2312" w:eastAsia="仿宋_GB2312"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701"/>
        <w:gridCol w:w="1060"/>
        <w:gridCol w:w="595"/>
        <w:gridCol w:w="1383"/>
        <w:gridCol w:w="1586"/>
        <w:gridCol w:w="1663"/>
      </w:tblGrid>
      <w:tr w:rsidR="00094095" w:rsidRPr="002F2D60" w:rsidTr="00AC7EB3">
        <w:tc>
          <w:tcPr>
            <w:tcW w:w="1770" w:type="dxa"/>
            <w:shd w:val="clear" w:color="auto" w:fill="D9D9D9"/>
          </w:tcPr>
          <w:p w:rsidR="00094095" w:rsidRPr="002F2D60" w:rsidRDefault="00094095" w:rsidP="005B6F16">
            <w:pPr>
              <w:spacing w:line="500" w:lineRule="exact"/>
              <w:rPr>
                <w:rFonts w:ascii="仿宋_GB2312" w:eastAsia="仿宋_GB2312" w:hAnsi="Times New Roman"/>
                <w:sz w:val="28"/>
                <w:szCs w:val="28"/>
              </w:rPr>
            </w:pPr>
            <w:r w:rsidRPr="002F2D60">
              <w:rPr>
                <w:rFonts w:ascii="仿宋_GB2312" w:eastAsia="仿宋_GB2312" w:hAnsi="Times New Roman" w:hint="eastAsia"/>
                <w:sz w:val="28"/>
                <w:szCs w:val="28"/>
              </w:rPr>
              <w:t>案件名称</w:t>
            </w:r>
          </w:p>
        </w:tc>
        <w:tc>
          <w:tcPr>
            <w:tcW w:w="6988" w:type="dxa"/>
            <w:gridSpan w:val="6"/>
          </w:tcPr>
          <w:p w:rsidR="00094095" w:rsidRPr="002F2D60" w:rsidRDefault="007E3894" w:rsidP="005B6F16">
            <w:pPr>
              <w:spacing w:line="500" w:lineRule="exact"/>
              <w:rPr>
                <w:rFonts w:ascii="仿宋_GB2312" w:eastAsia="仿宋_GB2312" w:hAnsi="Times New Roman"/>
                <w:sz w:val="28"/>
                <w:szCs w:val="28"/>
              </w:rPr>
            </w:pPr>
            <w:r>
              <w:rPr>
                <w:rFonts w:ascii="仿宋_GB2312" w:eastAsia="仿宋_GB2312" w:hAnsi="Times New Roman"/>
                <w:sz w:val="28"/>
                <w:szCs w:val="28"/>
              </w:rPr>
              <w:t>广东鸿图科技股份有限公司收购宁波四维尔工业股份有限公司股权案</w:t>
            </w:r>
          </w:p>
        </w:tc>
      </w:tr>
      <w:tr w:rsidR="00094095" w:rsidRPr="002F2D60" w:rsidTr="00AC7EB3">
        <w:trPr>
          <w:trHeight w:val="993"/>
        </w:trPr>
        <w:tc>
          <w:tcPr>
            <w:tcW w:w="1770" w:type="dxa"/>
            <w:shd w:val="clear" w:color="auto" w:fill="D9D9D9"/>
          </w:tcPr>
          <w:p w:rsidR="00094095" w:rsidRPr="002F2D60" w:rsidRDefault="00094095" w:rsidP="005B6F16">
            <w:pPr>
              <w:spacing w:line="500" w:lineRule="exact"/>
              <w:rPr>
                <w:rFonts w:ascii="仿宋_GB2312" w:eastAsia="仿宋_GB2312" w:hAnsi="Times New Roman"/>
                <w:sz w:val="28"/>
                <w:szCs w:val="28"/>
              </w:rPr>
            </w:pPr>
            <w:r w:rsidRPr="002F2D60">
              <w:rPr>
                <w:rFonts w:ascii="仿宋_GB2312" w:eastAsia="仿宋_GB2312" w:hAnsi="Times New Roman" w:hint="eastAsia"/>
                <w:sz w:val="28"/>
                <w:szCs w:val="28"/>
              </w:rPr>
              <w:t>交易概况（限200字内）</w:t>
            </w:r>
          </w:p>
        </w:tc>
        <w:tc>
          <w:tcPr>
            <w:tcW w:w="6988" w:type="dxa"/>
            <w:gridSpan w:val="6"/>
          </w:tcPr>
          <w:p w:rsidR="00094095" w:rsidRPr="002F2D60" w:rsidRDefault="00653F88" w:rsidP="005B6F16">
            <w:pPr>
              <w:spacing w:line="500" w:lineRule="exact"/>
              <w:rPr>
                <w:rFonts w:ascii="仿宋_GB2312" w:eastAsia="仿宋_GB2312" w:hAnsi="Times New Roman"/>
                <w:sz w:val="28"/>
                <w:szCs w:val="28"/>
              </w:rPr>
            </w:pPr>
            <w:r>
              <w:rPr>
                <w:rFonts w:ascii="仿宋_GB2312" w:eastAsia="仿宋_GB2312" w:hAnsi="Times New Roman"/>
                <w:sz w:val="28"/>
                <w:szCs w:val="28"/>
              </w:rPr>
              <w:t>广东鸿图科技股份有限公司</w:t>
            </w:r>
            <w:r w:rsidR="00FD77A8">
              <w:rPr>
                <w:rFonts w:ascii="仿宋_GB2312" w:eastAsia="仿宋_GB2312" w:hAnsi="Times New Roman" w:hint="eastAsia"/>
                <w:sz w:val="28"/>
                <w:szCs w:val="28"/>
              </w:rPr>
              <w:t>（以下简称“广东鸿图”）</w:t>
            </w:r>
            <w:r>
              <w:rPr>
                <w:rFonts w:ascii="仿宋_GB2312" w:eastAsia="仿宋_GB2312" w:hAnsi="Times New Roman"/>
                <w:sz w:val="28"/>
                <w:szCs w:val="28"/>
              </w:rPr>
              <w:t>拟发行股份及支付现金购买上海四维尔控股集团有限公司</w:t>
            </w:r>
            <w:r>
              <w:rPr>
                <w:rFonts w:ascii="仿宋_GB2312" w:eastAsia="仿宋_GB2312" w:hAnsi="Times New Roman" w:hint="eastAsia"/>
                <w:sz w:val="28"/>
                <w:szCs w:val="28"/>
              </w:rPr>
              <w:t>、</w:t>
            </w:r>
            <w:r w:rsidRPr="00653F88">
              <w:rPr>
                <w:rFonts w:ascii="仿宋_GB2312" w:eastAsia="仿宋_GB2312" w:hAnsi="Times New Roman" w:hint="eastAsia"/>
                <w:sz w:val="28"/>
                <w:szCs w:val="28"/>
              </w:rPr>
              <w:t>FULL STATE AUTOMOBILE COMPONENTS CO.,LTD.、慈溪市钶迪机械配件有限公司、宁波维科精华集团股份有限公司、宁波汇鑫投资有限公司、上海科闻投资中心（有限合伙）、宁波星瑜投资有限公司、夏军合计持有的</w:t>
            </w:r>
            <w:r>
              <w:rPr>
                <w:rFonts w:ascii="仿宋_GB2312" w:eastAsia="仿宋_GB2312" w:hAnsi="Times New Roman"/>
                <w:sz w:val="28"/>
                <w:szCs w:val="28"/>
              </w:rPr>
              <w:t>宁波四维尔工业股份有限公司</w:t>
            </w:r>
            <w:r w:rsidR="00FD77A8">
              <w:rPr>
                <w:rFonts w:ascii="仿宋_GB2312" w:eastAsia="仿宋_GB2312" w:hAnsi="Times New Roman" w:hint="eastAsia"/>
                <w:sz w:val="28"/>
                <w:szCs w:val="28"/>
              </w:rPr>
              <w:t>（以下简称“四维尔股份”）</w:t>
            </w:r>
            <w:r>
              <w:rPr>
                <w:rFonts w:ascii="仿宋_GB2312" w:eastAsia="仿宋_GB2312" w:hAnsi="Times New Roman" w:hint="eastAsia"/>
                <w:sz w:val="28"/>
                <w:szCs w:val="28"/>
              </w:rPr>
              <w:t>100%股权。</w:t>
            </w:r>
          </w:p>
        </w:tc>
      </w:tr>
      <w:tr w:rsidR="00094095" w:rsidRPr="002F2D60" w:rsidTr="00AC7EB3">
        <w:trPr>
          <w:trHeight w:val="468"/>
        </w:trPr>
        <w:tc>
          <w:tcPr>
            <w:tcW w:w="1770" w:type="dxa"/>
            <w:vMerge w:val="restart"/>
            <w:shd w:val="clear" w:color="auto" w:fill="D9D9D9"/>
          </w:tcPr>
          <w:p w:rsidR="00094095" w:rsidRPr="002F2D60" w:rsidRDefault="00094095" w:rsidP="005B6F16">
            <w:pPr>
              <w:spacing w:line="500" w:lineRule="exact"/>
              <w:rPr>
                <w:rFonts w:ascii="仿宋_GB2312" w:eastAsia="仿宋_GB2312" w:hAnsi="Times New Roman"/>
                <w:sz w:val="28"/>
                <w:szCs w:val="28"/>
              </w:rPr>
            </w:pPr>
            <w:r w:rsidRPr="00653F88">
              <w:rPr>
                <w:rFonts w:ascii="仿宋_GB2312" w:eastAsia="仿宋_GB2312" w:hAnsi="Times New Roman" w:hint="eastAsia"/>
                <w:sz w:val="28"/>
                <w:szCs w:val="28"/>
              </w:rPr>
              <w:t>参与集中的经营者简介</w:t>
            </w:r>
          </w:p>
        </w:tc>
        <w:tc>
          <w:tcPr>
            <w:tcW w:w="1761" w:type="dxa"/>
            <w:gridSpan w:val="2"/>
            <w:vAlign w:val="center"/>
          </w:tcPr>
          <w:p w:rsidR="00094095" w:rsidRPr="002F2D60" w:rsidRDefault="007E3894" w:rsidP="005B6F16">
            <w:pPr>
              <w:spacing w:line="500" w:lineRule="exact"/>
              <w:jc w:val="center"/>
              <w:rPr>
                <w:rFonts w:ascii="仿宋_GB2312" w:eastAsia="仿宋_GB2312" w:hAnsi="Times New Roman"/>
                <w:sz w:val="28"/>
                <w:szCs w:val="28"/>
              </w:rPr>
            </w:pPr>
            <w:r>
              <w:rPr>
                <w:rFonts w:ascii="仿宋_GB2312" w:eastAsia="仿宋_GB2312" w:hAnsi="Times New Roman" w:hint="eastAsia"/>
                <w:sz w:val="28"/>
                <w:szCs w:val="28"/>
              </w:rPr>
              <w:t>广东鸿图</w:t>
            </w:r>
          </w:p>
        </w:tc>
        <w:tc>
          <w:tcPr>
            <w:tcW w:w="5227" w:type="dxa"/>
            <w:gridSpan w:val="4"/>
          </w:tcPr>
          <w:p w:rsidR="00094095" w:rsidRPr="002F2D60" w:rsidRDefault="006312AA" w:rsidP="005B6F16">
            <w:pPr>
              <w:spacing w:line="500" w:lineRule="exact"/>
              <w:rPr>
                <w:rFonts w:ascii="仿宋_GB2312" w:eastAsia="仿宋_GB2312" w:hAnsi="Times New Roman"/>
                <w:sz w:val="28"/>
                <w:szCs w:val="28"/>
              </w:rPr>
            </w:pPr>
            <w:r>
              <w:rPr>
                <w:rFonts w:ascii="仿宋_GB2312" w:eastAsia="仿宋_GB2312" w:hAnsi="Times New Roman"/>
                <w:sz w:val="28"/>
                <w:szCs w:val="28"/>
              </w:rPr>
              <w:t>广东鸿图设立于</w:t>
            </w:r>
            <w:r>
              <w:rPr>
                <w:rFonts w:ascii="仿宋_GB2312" w:eastAsia="仿宋_GB2312" w:hAnsi="Times New Roman" w:hint="eastAsia"/>
                <w:sz w:val="28"/>
                <w:szCs w:val="28"/>
              </w:rPr>
              <w:t>2000年12月，注册地为广东省肇庆市，主要从事铝合金压铸件产品的生产和销售，其生产的产品主要应用于汽车、通讯和机电行业，其中汽车类产品主要包括缸盖罩、油底壳、节温器壳体、链条盖、连接水管总成、缸盖罩总成、链条张紧器滑板总成、压缩机支架总成、发动机加强板、离合器壳体、中间壳体、后壳、变速器壳体、齿轮室、汽车空调压缩机壳体等</w:t>
            </w:r>
            <w:r w:rsidR="00FD77A8">
              <w:rPr>
                <w:rFonts w:ascii="仿宋_GB2312" w:eastAsia="仿宋_GB2312" w:hAnsi="Times New Roman" w:hint="eastAsia"/>
                <w:sz w:val="28"/>
                <w:szCs w:val="28"/>
              </w:rPr>
              <w:t>压铸机产品</w:t>
            </w:r>
            <w:r>
              <w:rPr>
                <w:rFonts w:ascii="仿宋_GB2312" w:eastAsia="仿宋_GB2312" w:hAnsi="Times New Roman" w:hint="eastAsia"/>
                <w:sz w:val="28"/>
                <w:szCs w:val="28"/>
              </w:rPr>
              <w:t>。</w:t>
            </w:r>
          </w:p>
        </w:tc>
      </w:tr>
      <w:tr w:rsidR="00094095" w:rsidRPr="002F2D60" w:rsidTr="00AC7EB3">
        <w:trPr>
          <w:trHeight w:val="404"/>
        </w:trPr>
        <w:tc>
          <w:tcPr>
            <w:tcW w:w="1770" w:type="dxa"/>
            <w:vMerge/>
            <w:shd w:val="clear" w:color="auto" w:fill="D9D9D9"/>
          </w:tcPr>
          <w:p w:rsidR="00094095" w:rsidRPr="002F2D60" w:rsidRDefault="00094095" w:rsidP="005B6F16">
            <w:pPr>
              <w:spacing w:line="500" w:lineRule="exact"/>
              <w:rPr>
                <w:rFonts w:ascii="仿宋_GB2312" w:eastAsia="仿宋_GB2312" w:hAnsi="Times New Roman"/>
                <w:sz w:val="28"/>
                <w:szCs w:val="28"/>
              </w:rPr>
            </w:pPr>
          </w:p>
        </w:tc>
        <w:tc>
          <w:tcPr>
            <w:tcW w:w="1761" w:type="dxa"/>
            <w:gridSpan w:val="2"/>
            <w:vAlign w:val="center"/>
          </w:tcPr>
          <w:p w:rsidR="00094095" w:rsidRPr="002F2D60" w:rsidRDefault="007E3894" w:rsidP="005B6F16">
            <w:pPr>
              <w:spacing w:line="500" w:lineRule="exact"/>
              <w:jc w:val="center"/>
              <w:rPr>
                <w:rFonts w:ascii="仿宋_GB2312" w:eastAsia="仿宋_GB2312" w:hAnsi="Times New Roman"/>
                <w:sz w:val="28"/>
                <w:szCs w:val="28"/>
              </w:rPr>
            </w:pPr>
            <w:r>
              <w:rPr>
                <w:rFonts w:ascii="仿宋_GB2312" w:eastAsia="仿宋_GB2312" w:hAnsi="Times New Roman" w:hint="eastAsia"/>
                <w:sz w:val="28"/>
                <w:szCs w:val="28"/>
              </w:rPr>
              <w:t>四维尔股份</w:t>
            </w:r>
          </w:p>
        </w:tc>
        <w:tc>
          <w:tcPr>
            <w:tcW w:w="5227" w:type="dxa"/>
            <w:gridSpan w:val="4"/>
          </w:tcPr>
          <w:p w:rsidR="00094095" w:rsidRPr="002F2D60" w:rsidRDefault="006312AA" w:rsidP="005B6F16">
            <w:pPr>
              <w:spacing w:line="500" w:lineRule="exact"/>
              <w:rPr>
                <w:rFonts w:ascii="仿宋_GB2312" w:eastAsia="仿宋_GB2312" w:hAnsi="Times New Roman"/>
                <w:sz w:val="28"/>
                <w:szCs w:val="28"/>
              </w:rPr>
            </w:pPr>
            <w:r>
              <w:rPr>
                <w:rFonts w:ascii="仿宋_GB2312" w:eastAsia="仿宋_GB2312" w:hAnsi="Times New Roman"/>
                <w:sz w:val="28"/>
                <w:szCs w:val="28"/>
              </w:rPr>
              <w:t>四维尔股份设立于</w:t>
            </w:r>
            <w:r>
              <w:rPr>
                <w:rFonts w:ascii="仿宋_GB2312" w:eastAsia="仿宋_GB2312" w:hAnsi="Times New Roman" w:hint="eastAsia"/>
                <w:sz w:val="28"/>
                <w:szCs w:val="28"/>
              </w:rPr>
              <w:t>1994年9</w:t>
            </w:r>
            <w:r w:rsidR="005D2980">
              <w:rPr>
                <w:rFonts w:ascii="仿宋_GB2312" w:eastAsia="仿宋_GB2312" w:hAnsi="Times New Roman" w:hint="eastAsia"/>
                <w:sz w:val="28"/>
                <w:szCs w:val="28"/>
              </w:rPr>
              <w:t>月，注册地为浙江省慈溪市，主要从事汽车内外装饰件的设计</w:t>
            </w:r>
            <w:r>
              <w:rPr>
                <w:rFonts w:ascii="仿宋_GB2312" w:eastAsia="仿宋_GB2312" w:hAnsi="Times New Roman" w:hint="eastAsia"/>
                <w:sz w:val="28"/>
                <w:szCs w:val="28"/>
              </w:rPr>
              <w:t>、研发、生产、销售与售后服务，主要产品包括汽车标牌、散热器格栅、车</w:t>
            </w:r>
            <w:r>
              <w:rPr>
                <w:rFonts w:ascii="仿宋_GB2312" w:eastAsia="仿宋_GB2312" w:hAnsi="Times New Roman" w:hint="eastAsia"/>
                <w:sz w:val="28"/>
                <w:szCs w:val="28"/>
              </w:rPr>
              <w:lastRenderedPageBreak/>
              <w:t>轮盖、装饰条、出风口、门扣手、发动机罩等塑料件产品。</w:t>
            </w:r>
          </w:p>
        </w:tc>
      </w:tr>
      <w:tr w:rsidR="00094095" w:rsidRPr="002F2D60" w:rsidTr="00AC7EB3">
        <w:trPr>
          <w:trHeight w:val="279"/>
        </w:trPr>
        <w:tc>
          <w:tcPr>
            <w:tcW w:w="1770" w:type="dxa"/>
            <w:vMerge w:val="restart"/>
            <w:shd w:val="clear" w:color="auto" w:fill="D9D9D9"/>
          </w:tcPr>
          <w:p w:rsidR="00094095" w:rsidRPr="002F2D60" w:rsidRDefault="00094095" w:rsidP="005B6F16">
            <w:pPr>
              <w:spacing w:line="500" w:lineRule="exact"/>
              <w:rPr>
                <w:rFonts w:ascii="仿宋_GB2312" w:eastAsia="仿宋_GB2312" w:hAnsi="Times New Roman"/>
                <w:sz w:val="28"/>
                <w:szCs w:val="28"/>
              </w:rPr>
            </w:pPr>
            <w:r w:rsidRPr="00653F88">
              <w:rPr>
                <w:rFonts w:ascii="仿宋_GB2312" w:eastAsia="仿宋_GB2312" w:hAnsi="Times New Roman" w:hint="eastAsia"/>
                <w:sz w:val="28"/>
                <w:szCs w:val="28"/>
              </w:rPr>
              <w:lastRenderedPageBreak/>
              <w:t>简易案件理由</w:t>
            </w:r>
            <w:r w:rsidRPr="002F2D60">
              <w:rPr>
                <w:rFonts w:ascii="仿宋_GB2312" w:eastAsia="仿宋_GB2312" w:hAnsi="Times New Roman" w:hint="eastAsia"/>
                <w:sz w:val="28"/>
                <w:szCs w:val="28"/>
              </w:rPr>
              <w:t>（</w:t>
            </w:r>
            <w:r w:rsidR="005F167B">
              <w:rPr>
                <w:rFonts w:ascii="仿宋_GB2312" w:eastAsia="仿宋_GB2312" w:hAnsi="Times New Roman" w:hint="eastAsia"/>
                <w:sz w:val="28"/>
                <w:szCs w:val="28"/>
              </w:rPr>
              <w:t>可以单选，也可以多选</w:t>
            </w:r>
            <w:r w:rsidRPr="002F2D60">
              <w:rPr>
                <w:rFonts w:ascii="仿宋_GB2312" w:eastAsia="仿宋_GB2312" w:hAnsi="Times New Roman" w:hint="eastAsia"/>
                <w:sz w:val="28"/>
                <w:szCs w:val="28"/>
              </w:rPr>
              <w:t>）</w:t>
            </w:r>
          </w:p>
        </w:tc>
        <w:tc>
          <w:tcPr>
            <w:tcW w:w="6988" w:type="dxa"/>
            <w:gridSpan w:val="6"/>
          </w:tcPr>
          <w:p w:rsidR="00094095" w:rsidRPr="002F2D60" w:rsidRDefault="00094095" w:rsidP="005B6F16">
            <w:pPr>
              <w:spacing w:line="500" w:lineRule="exact"/>
              <w:rPr>
                <w:rFonts w:ascii="仿宋_GB2312" w:eastAsia="仿宋_GB2312" w:hAnsi="Times New Roman"/>
                <w:sz w:val="28"/>
                <w:szCs w:val="28"/>
              </w:rPr>
            </w:pPr>
            <w:r w:rsidRPr="002F2D60">
              <w:rPr>
                <w:rFonts w:ascii="仿宋_GB2312" w:eastAsia="仿宋_GB2312" w:hAnsi="Times New Roman" w:hint="eastAsia"/>
                <w:sz w:val="28"/>
                <w:szCs w:val="28"/>
              </w:rPr>
              <w:t>□1、在同一相关市场，所有参与集中的经营者所占市场份额之和小于15%。</w:t>
            </w:r>
          </w:p>
        </w:tc>
      </w:tr>
      <w:tr w:rsidR="00094095" w:rsidRPr="002F2D60" w:rsidTr="00AC7EB3">
        <w:trPr>
          <w:trHeight w:val="330"/>
        </w:trPr>
        <w:tc>
          <w:tcPr>
            <w:tcW w:w="1770" w:type="dxa"/>
            <w:vMerge/>
            <w:shd w:val="clear" w:color="auto" w:fill="D9D9D9"/>
          </w:tcPr>
          <w:p w:rsidR="00094095" w:rsidRPr="002F2D60" w:rsidRDefault="00094095" w:rsidP="005B6F16">
            <w:pPr>
              <w:spacing w:line="500" w:lineRule="exact"/>
              <w:rPr>
                <w:rFonts w:ascii="仿宋_GB2312" w:eastAsia="仿宋_GB2312" w:hAnsi="Times New Roman"/>
                <w:sz w:val="28"/>
                <w:szCs w:val="28"/>
              </w:rPr>
            </w:pPr>
          </w:p>
        </w:tc>
        <w:tc>
          <w:tcPr>
            <w:tcW w:w="6988" w:type="dxa"/>
            <w:gridSpan w:val="6"/>
          </w:tcPr>
          <w:p w:rsidR="00094095" w:rsidRPr="002F2D60" w:rsidRDefault="00094095" w:rsidP="005B6F16">
            <w:pPr>
              <w:spacing w:line="500" w:lineRule="exact"/>
              <w:rPr>
                <w:rFonts w:ascii="仿宋_GB2312" w:eastAsia="仿宋_GB2312" w:hAnsi="Times New Roman"/>
                <w:sz w:val="28"/>
                <w:szCs w:val="28"/>
              </w:rPr>
            </w:pPr>
            <w:r w:rsidRPr="002F2D60">
              <w:rPr>
                <w:rFonts w:ascii="仿宋_GB2312" w:eastAsia="仿宋_GB2312" w:hAnsi="Times New Roman" w:hint="eastAsia"/>
                <w:sz w:val="28"/>
                <w:szCs w:val="28"/>
              </w:rPr>
              <w:t>□2、存在上下游关系的参与集中的经营者，在上下游市场所占的市场份额均小于25%。</w:t>
            </w:r>
          </w:p>
        </w:tc>
      </w:tr>
      <w:tr w:rsidR="00094095" w:rsidRPr="002F2D60" w:rsidTr="00AC7EB3">
        <w:trPr>
          <w:trHeight w:val="285"/>
        </w:trPr>
        <w:tc>
          <w:tcPr>
            <w:tcW w:w="1770" w:type="dxa"/>
            <w:vMerge/>
            <w:shd w:val="clear" w:color="auto" w:fill="D9D9D9"/>
          </w:tcPr>
          <w:p w:rsidR="00094095" w:rsidRPr="002F2D60" w:rsidRDefault="00094095" w:rsidP="005B6F16">
            <w:pPr>
              <w:spacing w:line="500" w:lineRule="exact"/>
              <w:rPr>
                <w:rFonts w:ascii="仿宋_GB2312" w:eastAsia="仿宋_GB2312" w:hAnsi="Times New Roman"/>
                <w:sz w:val="28"/>
                <w:szCs w:val="28"/>
              </w:rPr>
            </w:pPr>
          </w:p>
        </w:tc>
        <w:tc>
          <w:tcPr>
            <w:tcW w:w="6988" w:type="dxa"/>
            <w:gridSpan w:val="6"/>
          </w:tcPr>
          <w:p w:rsidR="00094095" w:rsidRPr="002F2D60" w:rsidRDefault="004952F8" w:rsidP="005B6F16">
            <w:pPr>
              <w:spacing w:line="500" w:lineRule="exact"/>
              <w:rPr>
                <w:rFonts w:ascii="仿宋_GB2312" w:eastAsia="仿宋_GB2312" w:hAnsi="Times New Roman"/>
                <w:sz w:val="28"/>
                <w:szCs w:val="28"/>
              </w:rPr>
            </w:pPr>
            <w:r w:rsidRPr="00E91F74">
              <w:rPr>
                <w:rFonts w:ascii="黑体" w:eastAsia="黑体" w:hint="eastAsia"/>
                <w:szCs w:val="21"/>
              </w:rPr>
              <w:sym w:font="Wingdings" w:char="F0FE"/>
            </w:r>
            <w:r w:rsidR="00094095" w:rsidRPr="002F2D60">
              <w:rPr>
                <w:rFonts w:ascii="仿宋_GB2312" w:eastAsia="仿宋_GB2312" w:hAnsi="Times New Roman" w:hint="eastAsia"/>
                <w:sz w:val="28"/>
                <w:szCs w:val="28"/>
              </w:rPr>
              <w:t>3、不在同一相关市场、也不存在上下游关系的参与集中的经营者，在与交易有关的每个市场所占的份额均小于25%。</w:t>
            </w:r>
          </w:p>
        </w:tc>
      </w:tr>
      <w:tr w:rsidR="00094095" w:rsidRPr="002F2D60" w:rsidTr="00AC7EB3">
        <w:trPr>
          <w:trHeight w:val="870"/>
        </w:trPr>
        <w:tc>
          <w:tcPr>
            <w:tcW w:w="1770" w:type="dxa"/>
            <w:vMerge/>
            <w:shd w:val="clear" w:color="auto" w:fill="D9D9D9"/>
          </w:tcPr>
          <w:p w:rsidR="00094095" w:rsidRPr="002F2D60" w:rsidRDefault="00094095" w:rsidP="005B6F16">
            <w:pPr>
              <w:spacing w:line="500" w:lineRule="exact"/>
              <w:rPr>
                <w:rFonts w:ascii="仿宋_GB2312" w:eastAsia="仿宋_GB2312" w:hAnsi="Times New Roman"/>
                <w:sz w:val="28"/>
                <w:szCs w:val="28"/>
              </w:rPr>
            </w:pPr>
          </w:p>
        </w:tc>
        <w:tc>
          <w:tcPr>
            <w:tcW w:w="6988" w:type="dxa"/>
            <w:gridSpan w:val="6"/>
          </w:tcPr>
          <w:p w:rsidR="00094095" w:rsidRPr="002F2D60" w:rsidRDefault="00094095" w:rsidP="005B6F16">
            <w:pPr>
              <w:spacing w:line="500" w:lineRule="exact"/>
              <w:rPr>
                <w:rFonts w:ascii="仿宋_GB2312" w:eastAsia="仿宋_GB2312" w:hAnsi="Times New Roman"/>
                <w:sz w:val="28"/>
                <w:szCs w:val="28"/>
              </w:rPr>
            </w:pPr>
            <w:r w:rsidRPr="002F2D60">
              <w:rPr>
                <w:rFonts w:ascii="仿宋_GB2312" w:eastAsia="仿宋_GB2312" w:hAnsi="Times New Roman" w:hint="eastAsia"/>
                <w:sz w:val="28"/>
                <w:szCs w:val="28"/>
              </w:rPr>
              <w:t>□4、参与集中的经营者在中国境外设立合营企业，合营企业不在中国境内从事经济活动。</w:t>
            </w:r>
          </w:p>
        </w:tc>
      </w:tr>
      <w:tr w:rsidR="00094095" w:rsidRPr="002F2D60" w:rsidTr="00AC7EB3">
        <w:trPr>
          <w:trHeight w:val="264"/>
        </w:trPr>
        <w:tc>
          <w:tcPr>
            <w:tcW w:w="1770" w:type="dxa"/>
            <w:vMerge/>
            <w:shd w:val="clear" w:color="auto" w:fill="D9D9D9"/>
          </w:tcPr>
          <w:p w:rsidR="00094095" w:rsidRPr="002F2D60" w:rsidRDefault="00094095" w:rsidP="005B6F16">
            <w:pPr>
              <w:spacing w:line="500" w:lineRule="exact"/>
              <w:rPr>
                <w:rFonts w:ascii="仿宋_GB2312" w:eastAsia="仿宋_GB2312" w:hAnsi="Times New Roman"/>
                <w:sz w:val="28"/>
                <w:szCs w:val="28"/>
              </w:rPr>
            </w:pPr>
          </w:p>
        </w:tc>
        <w:tc>
          <w:tcPr>
            <w:tcW w:w="6988" w:type="dxa"/>
            <w:gridSpan w:val="6"/>
          </w:tcPr>
          <w:p w:rsidR="00094095" w:rsidRPr="002F2D60" w:rsidRDefault="00094095" w:rsidP="005B6F16">
            <w:pPr>
              <w:spacing w:line="500" w:lineRule="exact"/>
              <w:rPr>
                <w:rFonts w:ascii="仿宋_GB2312" w:eastAsia="仿宋_GB2312" w:hAnsi="Times New Roman"/>
                <w:sz w:val="28"/>
                <w:szCs w:val="28"/>
              </w:rPr>
            </w:pPr>
            <w:r w:rsidRPr="002F2D60">
              <w:rPr>
                <w:rFonts w:ascii="仿宋_GB2312" w:eastAsia="仿宋_GB2312" w:hAnsi="Times New Roman" w:hint="eastAsia"/>
                <w:sz w:val="28"/>
                <w:szCs w:val="28"/>
              </w:rPr>
              <w:t>□5、参与集中的经营者收购境外企业股权或资产的，该境外企业不在中国境内从事经济活动。</w:t>
            </w:r>
          </w:p>
        </w:tc>
      </w:tr>
      <w:tr w:rsidR="00094095" w:rsidRPr="002F2D60" w:rsidTr="00AC7EB3">
        <w:trPr>
          <w:trHeight w:val="345"/>
        </w:trPr>
        <w:tc>
          <w:tcPr>
            <w:tcW w:w="1770" w:type="dxa"/>
            <w:vMerge/>
            <w:shd w:val="clear" w:color="auto" w:fill="D9D9D9"/>
          </w:tcPr>
          <w:p w:rsidR="00094095" w:rsidRPr="002F2D60" w:rsidRDefault="00094095" w:rsidP="005B6F16">
            <w:pPr>
              <w:spacing w:line="500" w:lineRule="exact"/>
              <w:rPr>
                <w:rFonts w:ascii="仿宋_GB2312" w:eastAsia="仿宋_GB2312" w:hAnsi="Times New Roman"/>
                <w:sz w:val="28"/>
                <w:szCs w:val="28"/>
              </w:rPr>
            </w:pPr>
          </w:p>
        </w:tc>
        <w:tc>
          <w:tcPr>
            <w:tcW w:w="6988" w:type="dxa"/>
            <w:gridSpan w:val="6"/>
          </w:tcPr>
          <w:p w:rsidR="00094095" w:rsidRPr="002F2D60" w:rsidRDefault="00094095" w:rsidP="005B6F16">
            <w:pPr>
              <w:spacing w:line="500" w:lineRule="exact"/>
              <w:rPr>
                <w:rFonts w:ascii="仿宋_GB2312" w:eastAsia="仿宋_GB2312" w:hAnsi="Times New Roman"/>
                <w:sz w:val="28"/>
                <w:szCs w:val="28"/>
              </w:rPr>
            </w:pPr>
            <w:r w:rsidRPr="002F2D60">
              <w:rPr>
                <w:rFonts w:ascii="仿宋_GB2312" w:eastAsia="仿宋_GB2312" w:hAnsi="Times New Roman" w:hint="eastAsia"/>
                <w:sz w:val="28"/>
                <w:szCs w:val="28"/>
              </w:rPr>
              <w:t>□6、由两个以上的经营者共同控制的合营企业，通过集中被其中一个或一个以上经营者控制。</w:t>
            </w:r>
          </w:p>
        </w:tc>
      </w:tr>
      <w:tr w:rsidR="00CE0A5E" w:rsidRPr="002F2D60" w:rsidTr="00AC7EB3">
        <w:tc>
          <w:tcPr>
            <w:tcW w:w="1770" w:type="dxa"/>
            <w:vMerge w:val="restart"/>
            <w:shd w:val="clear" w:color="auto" w:fill="D9D9D9"/>
            <w:vAlign w:val="center"/>
          </w:tcPr>
          <w:p w:rsidR="00CE0A5E" w:rsidRPr="002F2D60" w:rsidRDefault="00CE0A5E" w:rsidP="00BE6F42">
            <w:pPr>
              <w:spacing w:line="500" w:lineRule="exact"/>
              <w:jc w:val="center"/>
              <w:rPr>
                <w:rFonts w:ascii="仿宋_GB2312" w:eastAsia="仿宋_GB2312" w:hAnsi="Times New Roman"/>
                <w:sz w:val="28"/>
                <w:szCs w:val="28"/>
              </w:rPr>
            </w:pPr>
            <w:r w:rsidRPr="002F2D60">
              <w:rPr>
                <w:rFonts w:ascii="仿宋_GB2312" w:eastAsia="仿宋_GB2312" w:hAnsi="Times New Roman" w:hint="eastAsia"/>
                <w:sz w:val="28"/>
                <w:szCs w:val="28"/>
              </w:rPr>
              <w:t>备注</w:t>
            </w:r>
          </w:p>
        </w:tc>
        <w:tc>
          <w:tcPr>
            <w:tcW w:w="701" w:type="dxa"/>
            <w:vMerge w:val="restart"/>
            <w:vAlign w:val="center"/>
          </w:tcPr>
          <w:p w:rsidR="00CE0A5E" w:rsidDel="00BE6F42" w:rsidRDefault="00CE0A5E" w:rsidP="00BE6F42">
            <w:pPr>
              <w:spacing w:line="500" w:lineRule="exact"/>
              <w:jc w:val="center"/>
              <w:rPr>
                <w:rFonts w:ascii="仿宋_GB2312" w:eastAsia="仿宋_GB2312" w:hAnsi="Times New Roman"/>
                <w:sz w:val="28"/>
                <w:szCs w:val="28"/>
              </w:rPr>
            </w:pPr>
            <w:r>
              <w:rPr>
                <w:rFonts w:ascii="仿宋_GB2312" w:eastAsia="仿宋_GB2312" w:hAnsi="Times New Roman" w:hint="eastAsia"/>
                <w:sz w:val="28"/>
                <w:szCs w:val="28"/>
              </w:rPr>
              <w:t>编号</w:t>
            </w:r>
          </w:p>
        </w:tc>
        <w:tc>
          <w:tcPr>
            <w:tcW w:w="1655" w:type="dxa"/>
            <w:gridSpan w:val="2"/>
            <w:vMerge w:val="restart"/>
            <w:vAlign w:val="center"/>
          </w:tcPr>
          <w:p w:rsidR="00CE0A5E" w:rsidRPr="0040270B" w:rsidDel="00BE6F42" w:rsidRDefault="00CE0A5E" w:rsidP="00BE6F42">
            <w:pPr>
              <w:spacing w:line="500" w:lineRule="exact"/>
              <w:jc w:val="center"/>
              <w:rPr>
                <w:rFonts w:ascii="仿宋_GB2312" w:eastAsia="仿宋_GB2312" w:hAnsi="Times New Roman"/>
                <w:sz w:val="28"/>
                <w:szCs w:val="28"/>
              </w:rPr>
            </w:pPr>
            <w:r>
              <w:rPr>
                <w:rFonts w:ascii="仿宋_GB2312" w:eastAsia="仿宋_GB2312" w:hAnsi="Times New Roman"/>
                <w:sz w:val="28"/>
                <w:szCs w:val="28"/>
              </w:rPr>
              <w:t>商品市场</w:t>
            </w:r>
          </w:p>
        </w:tc>
        <w:tc>
          <w:tcPr>
            <w:tcW w:w="1383" w:type="dxa"/>
            <w:vMerge w:val="restart"/>
            <w:vAlign w:val="center"/>
          </w:tcPr>
          <w:p w:rsidR="00CE0A5E" w:rsidRPr="002F2D60" w:rsidRDefault="00CE0A5E" w:rsidP="00BE6F42">
            <w:pPr>
              <w:spacing w:line="500" w:lineRule="exact"/>
              <w:jc w:val="center"/>
              <w:rPr>
                <w:rFonts w:ascii="仿宋_GB2312" w:eastAsia="仿宋_GB2312" w:hAnsi="Times New Roman"/>
                <w:sz w:val="28"/>
                <w:szCs w:val="28"/>
              </w:rPr>
            </w:pPr>
            <w:r>
              <w:rPr>
                <w:rFonts w:ascii="仿宋_GB2312" w:eastAsia="仿宋_GB2312" w:hAnsi="Times New Roman"/>
                <w:sz w:val="28"/>
                <w:szCs w:val="28"/>
              </w:rPr>
              <w:t>地域市场</w:t>
            </w:r>
          </w:p>
        </w:tc>
        <w:tc>
          <w:tcPr>
            <w:tcW w:w="3249" w:type="dxa"/>
            <w:gridSpan w:val="2"/>
            <w:vAlign w:val="center"/>
          </w:tcPr>
          <w:p w:rsidR="00CE0A5E" w:rsidRPr="00CE0A5E" w:rsidRDefault="00CE0A5E" w:rsidP="00BE6F42">
            <w:pPr>
              <w:spacing w:line="500" w:lineRule="exact"/>
              <w:jc w:val="center"/>
              <w:rPr>
                <w:rFonts w:ascii="仿宋_GB2312" w:eastAsia="仿宋_GB2312" w:hAnsi="Times New Roman"/>
                <w:szCs w:val="21"/>
              </w:rPr>
            </w:pPr>
            <w:r w:rsidRPr="00CE0A5E">
              <w:rPr>
                <w:rFonts w:ascii="仿宋_GB2312" w:eastAsia="仿宋_GB2312" w:hAnsi="Times New Roman"/>
                <w:szCs w:val="21"/>
              </w:rPr>
              <w:t>市场份额</w:t>
            </w:r>
            <w:r w:rsidRPr="00CE0A5E">
              <w:rPr>
                <w:rFonts w:ascii="仿宋_GB2312" w:eastAsia="仿宋_GB2312" w:hAnsi="Times New Roman" w:hint="eastAsia"/>
                <w:szCs w:val="21"/>
              </w:rPr>
              <w:t>（以2015年数据为准）</w:t>
            </w:r>
          </w:p>
        </w:tc>
      </w:tr>
      <w:tr w:rsidR="00CE0A5E" w:rsidRPr="002F2D60" w:rsidTr="00AC7EB3">
        <w:tc>
          <w:tcPr>
            <w:tcW w:w="1770" w:type="dxa"/>
            <w:vMerge/>
            <w:shd w:val="clear" w:color="auto" w:fill="D9D9D9"/>
            <w:vAlign w:val="center"/>
          </w:tcPr>
          <w:p w:rsidR="00CE0A5E" w:rsidRPr="002F2D60" w:rsidRDefault="00CE0A5E" w:rsidP="00BE6F42">
            <w:pPr>
              <w:spacing w:line="500" w:lineRule="exact"/>
              <w:jc w:val="center"/>
              <w:rPr>
                <w:rFonts w:ascii="仿宋_GB2312" w:eastAsia="仿宋_GB2312" w:hAnsi="Times New Roman"/>
                <w:sz w:val="28"/>
                <w:szCs w:val="28"/>
              </w:rPr>
            </w:pPr>
          </w:p>
        </w:tc>
        <w:tc>
          <w:tcPr>
            <w:tcW w:w="701" w:type="dxa"/>
            <w:vMerge/>
            <w:vAlign w:val="center"/>
          </w:tcPr>
          <w:p w:rsidR="00CE0A5E" w:rsidDel="00BE6F42" w:rsidRDefault="00CE0A5E" w:rsidP="00BE6F42">
            <w:pPr>
              <w:spacing w:line="500" w:lineRule="exact"/>
              <w:jc w:val="center"/>
              <w:rPr>
                <w:rFonts w:ascii="仿宋_GB2312" w:eastAsia="仿宋_GB2312" w:hAnsi="Times New Roman"/>
                <w:sz w:val="28"/>
                <w:szCs w:val="28"/>
              </w:rPr>
            </w:pPr>
          </w:p>
        </w:tc>
        <w:tc>
          <w:tcPr>
            <w:tcW w:w="1655" w:type="dxa"/>
            <w:gridSpan w:val="2"/>
            <w:vMerge/>
            <w:vAlign w:val="center"/>
          </w:tcPr>
          <w:p w:rsidR="00CE0A5E" w:rsidRPr="0040270B" w:rsidDel="00BE6F42" w:rsidRDefault="00CE0A5E" w:rsidP="00BE6F42">
            <w:pPr>
              <w:spacing w:line="500" w:lineRule="exact"/>
              <w:jc w:val="center"/>
              <w:rPr>
                <w:rFonts w:ascii="仿宋_GB2312" w:eastAsia="仿宋_GB2312" w:hAnsi="Times New Roman"/>
                <w:sz w:val="28"/>
                <w:szCs w:val="28"/>
              </w:rPr>
            </w:pPr>
          </w:p>
        </w:tc>
        <w:tc>
          <w:tcPr>
            <w:tcW w:w="1383" w:type="dxa"/>
            <w:vMerge/>
            <w:vAlign w:val="center"/>
          </w:tcPr>
          <w:p w:rsidR="00CE0A5E" w:rsidRPr="002F2D60" w:rsidRDefault="00CE0A5E" w:rsidP="00BE6F42">
            <w:pPr>
              <w:spacing w:line="500" w:lineRule="exact"/>
              <w:jc w:val="center"/>
              <w:rPr>
                <w:rFonts w:ascii="仿宋_GB2312" w:eastAsia="仿宋_GB2312" w:hAnsi="Times New Roman"/>
                <w:sz w:val="28"/>
                <w:szCs w:val="28"/>
              </w:rPr>
            </w:pPr>
          </w:p>
        </w:tc>
        <w:tc>
          <w:tcPr>
            <w:tcW w:w="1586" w:type="dxa"/>
            <w:vAlign w:val="center"/>
          </w:tcPr>
          <w:p w:rsidR="00CE0A5E" w:rsidRPr="002F2D60" w:rsidRDefault="00CE0A5E" w:rsidP="00BE6F42">
            <w:pPr>
              <w:spacing w:line="500" w:lineRule="exact"/>
              <w:jc w:val="center"/>
              <w:rPr>
                <w:rFonts w:ascii="仿宋_GB2312" w:eastAsia="仿宋_GB2312" w:hAnsi="Times New Roman"/>
                <w:sz w:val="28"/>
                <w:szCs w:val="28"/>
              </w:rPr>
            </w:pPr>
            <w:r>
              <w:rPr>
                <w:rFonts w:ascii="仿宋_GB2312" w:eastAsia="仿宋_GB2312" w:hAnsi="Times New Roman"/>
                <w:sz w:val="28"/>
                <w:szCs w:val="28"/>
              </w:rPr>
              <w:t>广东鸿图</w:t>
            </w:r>
          </w:p>
        </w:tc>
        <w:tc>
          <w:tcPr>
            <w:tcW w:w="1663" w:type="dxa"/>
            <w:vAlign w:val="center"/>
          </w:tcPr>
          <w:p w:rsidR="00CE0A5E" w:rsidRPr="002F2D60" w:rsidRDefault="00CE0A5E" w:rsidP="00BE6F42">
            <w:pPr>
              <w:spacing w:line="500" w:lineRule="exact"/>
              <w:jc w:val="center"/>
              <w:rPr>
                <w:rFonts w:ascii="仿宋_GB2312" w:eastAsia="仿宋_GB2312" w:hAnsi="Times New Roman"/>
                <w:sz w:val="28"/>
                <w:szCs w:val="28"/>
              </w:rPr>
            </w:pPr>
            <w:r>
              <w:rPr>
                <w:rFonts w:ascii="仿宋_GB2312" w:eastAsia="仿宋_GB2312" w:hAnsi="Times New Roman"/>
                <w:sz w:val="28"/>
                <w:szCs w:val="28"/>
              </w:rPr>
              <w:t>四维尔股份</w:t>
            </w:r>
          </w:p>
        </w:tc>
      </w:tr>
      <w:tr w:rsidR="00CE0A5E" w:rsidRPr="002F2D60" w:rsidTr="00AC7EB3">
        <w:tc>
          <w:tcPr>
            <w:tcW w:w="1770" w:type="dxa"/>
            <w:vMerge/>
            <w:shd w:val="clear" w:color="auto" w:fill="D9D9D9"/>
            <w:vAlign w:val="center"/>
          </w:tcPr>
          <w:p w:rsidR="00CE0A5E" w:rsidRPr="002F2D60" w:rsidRDefault="00CE0A5E" w:rsidP="00BE6F42">
            <w:pPr>
              <w:spacing w:line="500" w:lineRule="exact"/>
              <w:jc w:val="center"/>
              <w:rPr>
                <w:rFonts w:ascii="仿宋_GB2312" w:eastAsia="仿宋_GB2312" w:hAnsi="Times New Roman"/>
                <w:sz w:val="28"/>
                <w:szCs w:val="28"/>
              </w:rPr>
            </w:pPr>
          </w:p>
        </w:tc>
        <w:tc>
          <w:tcPr>
            <w:tcW w:w="701" w:type="dxa"/>
            <w:vAlign w:val="center"/>
          </w:tcPr>
          <w:p w:rsidR="00CE0A5E" w:rsidDel="00BE6F42" w:rsidRDefault="00CE0A5E" w:rsidP="00BE6F42">
            <w:pPr>
              <w:spacing w:line="500" w:lineRule="exact"/>
              <w:jc w:val="center"/>
              <w:rPr>
                <w:rFonts w:ascii="仿宋_GB2312" w:eastAsia="仿宋_GB2312" w:hAnsi="Times New Roman"/>
                <w:sz w:val="28"/>
                <w:szCs w:val="28"/>
              </w:rPr>
            </w:pPr>
            <w:r>
              <w:rPr>
                <w:rFonts w:ascii="仿宋_GB2312" w:eastAsia="仿宋_GB2312" w:hAnsi="Times New Roman" w:hint="eastAsia"/>
                <w:sz w:val="28"/>
                <w:szCs w:val="28"/>
              </w:rPr>
              <w:t>1</w:t>
            </w:r>
          </w:p>
        </w:tc>
        <w:tc>
          <w:tcPr>
            <w:tcW w:w="1655" w:type="dxa"/>
            <w:gridSpan w:val="2"/>
            <w:vAlign w:val="center"/>
          </w:tcPr>
          <w:p w:rsidR="00CE0A5E" w:rsidRPr="0040270B" w:rsidDel="00BE6F42" w:rsidRDefault="00CE0A5E" w:rsidP="00BE6F42">
            <w:pPr>
              <w:spacing w:line="500" w:lineRule="exact"/>
              <w:jc w:val="center"/>
              <w:rPr>
                <w:rFonts w:ascii="仿宋_GB2312" w:eastAsia="仿宋_GB2312" w:hAnsi="Times New Roman"/>
                <w:sz w:val="28"/>
                <w:szCs w:val="28"/>
              </w:rPr>
            </w:pPr>
            <w:r>
              <w:rPr>
                <w:rFonts w:ascii="仿宋_GB2312" w:eastAsia="仿宋_GB2312" w:hAnsi="Times New Roman"/>
                <w:sz w:val="28"/>
                <w:szCs w:val="28"/>
              </w:rPr>
              <w:t>汽车铝压铸件配件市场</w:t>
            </w:r>
          </w:p>
        </w:tc>
        <w:tc>
          <w:tcPr>
            <w:tcW w:w="1383" w:type="dxa"/>
            <w:vAlign w:val="center"/>
          </w:tcPr>
          <w:p w:rsidR="00CE0A5E" w:rsidRPr="002F2D60" w:rsidRDefault="00CE0A5E" w:rsidP="00BE6F42">
            <w:pPr>
              <w:spacing w:line="500" w:lineRule="exact"/>
              <w:jc w:val="center"/>
              <w:rPr>
                <w:rFonts w:ascii="仿宋_GB2312" w:eastAsia="仿宋_GB2312" w:hAnsi="Times New Roman"/>
                <w:sz w:val="28"/>
                <w:szCs w:val="28"/>
              </w:rPr>
            </w:pPr>
            <w:r>
              <w:rPr>
                <w:rFonts w:ascii="仿宋_GB2312" w:eastAsia="仿宋_GB2312" w:hAnsi="Times New Roman"/>
                <w:sz w:val="28"/>
                <w:szCs w:val="28"/>
              </w:rPr>
              <w:t>全国</w:t>
            </w:r>
          </w:p>
        </w:tc>
        <w:tc>
          <w:tcPr>
            <w:tcW w:w="1586" w:type="dxa"/>
            <w:vAlign w:val="center"/>
          </w:tcPr>
          <w:p w:rsidR="00CE0A5E" w:rsidRPr="002F2D60" w:rsidRDefault="00292646" w:rsidP="00BE6F42">
            <w:pPr>
              <w:spacing w:line="500" w:lineRule="exact"/>
              <w:jc w:val="center"/>
              <w:rPr>
                <w:rFonts w:ascii="仿宋_GB2312" w:eastAsia="仿宋_GB2312" w:hAnsi="Times New Roman"/>
                <w:sz w:val="28"/>
                <w:szCs w:val="28"/>
              </w:rPr>
            </w:pPr>
            <w:r>
              <w:rPr>
                <w:rFonts w:ascii="仿宋_GB2312" w:eastAsia="仿宋_GB2312" w:hAnsi="Times New Roman" w:hint="eastAsia"/>
                <w:sz w:val="28"/>
                <w:szCs w:val="28"/>
              </w:rPr>
              <w:t>1</w:t>
            </w:r>
            <w:r w:rsidR="00E92F3E">
              <w:rPr>
                <w:rFonts w:ascii="仿宋_GB2312" w:eastAsia="仿宋_GB2312" w:hAnsi="Times New Roman" w:hint="eastAsia"/>
                <w:sz w:val="28"/>
                <w:szCs w:val="28"/>
              </w:rPr>
              <w:t>%-3%</w:t>
            </w:r>
          </w:p>
        </w:tc>
        <w:tc>
          <w:tcPr>
            <w:tcW w:w="1663" w:type="dxa"/>
            <w:vAlign w:val="center"/>
          </w:tcPr>
          <w:p w:rsidR="00CE0A5E" w:rsidRPr="002F2D60" w:rsidRDefault="00CE0A5E" w:rsidP="00BE6F42">
            <w:pPr>
              <w:spacing w:line="500" w:lineRule="exact"/>
              <w:jc w:val="center"/>
              <w:rPr>
                <w:rFonts w:ascii="仿宋_GB2312" w:eastAsia="仿宋_GB2312" w:hAnsi="Times New Roman"/>
                <w:sz w:val="28"/>
                <w:szCs w:val="28"/>
              </w:rPr>
            </w:pPr>
            <w:r>
              <w:rPr>
                <w:rFonts w:ascii="仿宋_GB2312" w:eastAsia="仿宋_GB2312" w:hAnsi="Times New Roman" w:hint="eastAsia"/>
                <w:sz w:val="28"/>
                <w:szCs w:val="28"/>
              </w:rPr>
              <w:t>0%</w:t>
            </w:r>
          </w:p>
        </w:tc>
      </w:tr>
      <w:tr w:rsidR="00CE0A5E" w:rsidRPr="002F2D60" w:rsidTr="00AC7EB3">
        <w:tc>
          <w:tcPr>
            <w:tcW w:w="1770" w:type="dxa"/>
            <w:vMerge/>
            <w:shd w:val="clear" w:color="auto" w:fill="D9D9D9"/>
            <w:vAlign w:val="center"/>
          </w:tcPr>
          <w:p w:rsidR="00CE0A5E" w:rsidRPr="002F2D60" w:rsidRDefault="00CE0A5E" w:rsidP="00BE6F42">
            <w:pPr>
              <w:spacing w:line="500" w:lineRule="exact"/>
              <w:jc w:val="center"/>
              <w:rPr>
                <w:rFonts w:ascii="仿宋_GB2312" w:eastAsia="仿宋_GB2312" w:hAnsi="Times New Roman"/>
                <w:sz w:val="28"/>
                <w:szCs w:val="28"/>
              </w:rPr>
            </w:pPr>
          </w:p>
        </w:tc>
        <w:tc>
          <w:tcPr>
            <w:tcW w:w="701" w:type="dxa"/>
            <w:vAlign w:val="center"/>
          </w:tcPr>
          <w:p w:rsidR="00CE0A5E" w:rsidDel="00BE6F42" w:rsidRDefault="00CE0A5E" w:rsidP="00BE6F42">
            <w:pPr>
              <w:spacing w:line="500" w:lineRule="exact"/>
              <w:jc w:val="center"/>
              <w:rPr>
                <w:rFonts w:ascii="仿宋_GB2312" w:eastAsia="仿宋_GB2312" w:hAnsi="Times New Roman"/>
                <w:sz w:val="28"/>
                <w:szCs w:val="28"/>
              </w:rPr>
            </w:pPr>
            <w:r>
              <w:rPr>
                <w:rFonts w:ascii="仿宋_GB2312" w:eastAsia="仿宋_GB2312" w:hAnsi="Times New Roman" w:hint="eastAsia"/>
                <w:sz w:val="28"/>
                <w:szCs w:val="28"/>
              </w:rPr>
              <w:t>2</w:t>
            </w:r>
          </w:p>
        </w:tc>
        <w:tc>
          <w:tcPr>
            <w:tcW w:w="1655" w:type="dxa"/>
            <w:gridSpan w:val="2"/>
            <w:vAlign w:val="center"/>
          </w:tcPr>
          <w:p w:rsidR="00CE0A5E" w:rsidRPr="0040270B" w:rsidDel="00BE6F42" w:rsidRDefault="00CE0A5E" w:rsidP="00BE6F42">
            <w:pPr>
              <w:spacing w:line="500" w:lineRule="exact"/>
              <w:jc w:val="center"/>
              <w:rPr>
                <w:rFonts w:ascii="仿宋_GB2312" w:eastAsia="仿宋_GB2312" w:hAnsi="Times New Roman"/>
                <w:sz w:val="28"/>
                <w:szCs w:val="28"/>
              </w:rPr>
            </w:pPr>
            <w:r>
              <w:rPr>
                <w:rFonts w:ascii="仿宋_GB2312" w:eastAsia="仿宋_GB2312" w:hAnsi="Times New Roman"/>
                <w:sz w:val="28"/>
                <w:szCs w:val="28"/>
              </w:rPr>
              <w:t>汽车塑料件饰件市场</w:t>
            </w:r>
          </w:p>
        </w:tc>
        <w:tc>
          <w:tcPr>
            <w:tcW w:w="1383" w:type="dxa"/>
            <w:vAlign w:val="center"/>
          </w:tcPr>
          <w:p w:rsidR="00CE0A5E" w:rsidRPr="002F2D60" w:rsidRDefault="00CE0A5E" w:rsidP="00BE6F42">
            <w:pPr>
              <w:spacing w:line="500" w:lineRule="exact"/>
              <w:jc w:val="center"/>
              <w:rPr>
                <w:rFonts w:ascii="仿宋_GB2312" w:eastAsia="仿宋_GB2312" w:hAnsi="Times New Roman"/>
                <w:sz w:val="28"/>
                <w:szCs w:val="28"/>
              </w:rPr>
            </w:pPr>
            <w:r>
              <w:rPr>
                <w:rFonts w:ascii="仿宋_GB2312" w:eastAsia="仿宋_GB2312" w:hAnsi="Times New Roman"/>
                <w:sz w:val="28"/>
                <w:szCs w:val="28"/>
              </w:rPr>
              <w:t>全国</w:t>
            </w:r>
          </w:p>
        </w:tc>
        <w:tc>
          <w:tcPr>
            <w:tcW w:w="1586" w:type="dxa"/>
            <w:vAlign w:val="center"/>
          </w:tcPr>
          <w:p w:rsidR="00CE0A5E" w:rsidRPr="002F2D60" w:rsidRDefault="00CE0A5E" w:rsidP="00BE6F42">
            <w:pPr>
              <w:spacing w:line="500" w:lineRule="exact"/>
              <w:jc w:val="center"/>
              <w:rPr>
                <w:rFonts w:ascii="仿宋_GB2312" w:eastAsia="仿宋_GB2312" w:hAnsi="Times New Roman"/>
                <w:sz w:val="28"/>
                <w:szCs w:val="28"/>
              </w:rPr>
            </w:pPr>
            <w:r>
              <w:rPr>
                <w:rFonts w:ascii="仿宋_GB2312" w:eastAsia="仿宋_GB2312" w:hAnsi="Times New Roman" w:hint="eastAsia"/>
                <w:sz w:val="28"/>
                <w:szCs w:val="28"/>
              </w:rPr>
              <w:t>0%</w:t>
            </w:r>
          </w:p>
        </w:tc>
        <w:tc>
          <w:tcPr>
            <w:tcW w:w="1663" w:type="dxa"/>
            <w:vAlign w:val="center"/>
          </w:tcPr>
          <w:p w:rsidR="00CE0A5E" w:rsidRPr="002F2D60" w:rsidRDefault="00F62DD6" w:rsidP="00BE6F42">
            <w:pPr>
              <w:spacing w:line="500" w:lineRule="exact"/>
              <w:jc w:val="center"/>
              <w:rPr>
                <w:rFonts w:ascii="仿宋_GB2312" w:eastAsia="仿宋_GB2312" w:hAnsi="Times New Roman"/>
                <w:sz w:val="28"/>
                <w:szCs w:val="28"/>
              </w:rPr>
            </w:pPr>
            <w:r>
              <w:rPr>
                <w:rFonts w:ascii="仿宋_GB2312" w:eastAsia="仿宋_GB2312" w:hAnsi="Times New Roman" w:hint="eastAsia"/>
                <w:sz w:val="28"/>
                <w:szCs w:val="28"/>
              </w:rPr>
              <w:t>1%-3</w:t>
            </w:r>
            <w:r w:rsidR="00520A97">
              <w:rPr>
                <w:rFonts w:ascii="仿宋_GB2312" w:eastAsia="仿宋_GB2312" w:hAnsi="Times New Roman" w:hint="eastAsia"/>
                <w:sz w:val="28"/>
                <w:szCs w:val="28"/>
              </w:rPr>
              <w:t>%</w:t>
            </w:r>
          </w:p>
        </w:tc>
      </w:tr>
    </w:tbl>
    <w:p w:rsidR="00BB2377" w:rsidRDefault="00BB2377" w:rsidP="00BB2377">
      <w:pPr>
        <w:snapToGrid w:val="0"/>
        <w:spacing w:line="240" w:lineRule="exact"/>
        <w:jc w:val="left"/>
        <w:rPr>
          <w:rFonts w:ascii="楷体_GB2312" w:eastAsia="楷体_GB2312" w:hAnsi="宋体"/>
          <w:sz w:val="24"/>
          <w:szCs w:val="24"/>
        </w:rPr>
      </w:pPr>
    </w:p>
    <w:p w:rsidR="005F167B" w:rsidRPr="00BB2377" w:rsidRDefault="005F167B" w:rsidP="00BB2377">
      <w:pPr>
        <w:snapToGrid w:val="0"/>
        <w:spacing w:line="240" w:lineRule="exact"/>
        <w:jc w:val="left"/>
        <w:rPr>
          <w:rFonts w:ascii="楷体_GB2312" w:eastAsia="楷体_GB2312" w:hAnsi="宋体"/>
          <w:sz w:val="24"/>
          <w:szCs w:val="24"/>
        </w:rPr>
      </w:pPr>
      <w:r w:rsidRPr="00BB2377">
        <w:rPr>
          <w:rFonts w:ascii="楷体_GB2312" w:eastAsia="楷体_GB2312" w:hAnsi="宋体" w:hint="eastAsia"/>
          <w:sz w:val="24"/>
          <w:szCs w:val="24"/>
        </w:rPr>
        <w:t>注解：</w:t>
      </w:r>
    </w:p>
    <w:p w:rsidR="005F167B" w:rsidRPr="00BB2377" w:rsidRDefault="005F167B" w:rsidP="00BB2377">
      <w:pPr>
        <w:snapToGrid w:val="0"/>
        <w:spacing w:line="360" w:lineRule="auto"/>
        <w:ind w:firstLineChars="200" w:firstLine="480"/>
        <w:jc w:val="left"/>
        <w:rPr>
          <w:rFonts w:ascii="楷体_GB2312" w:eastAsia="楷体_GB2312" w:hAnsi="宋体"/>
          <w:sz w:val="24"/>
          <w:szCs w:val="24"/>
        </w:rPr>
      </w:pPr>
      <w:r w:rsidRPr="00BB2377">
        <w:rPr>
          <w:rFonts w:ascii="楷体_GB2312" w:eastAsia="楷体_GB2312" w:hAnsi="宋体" w:hint="eastAsia"/>
          <w:sz w:val="24"/>
          <w:szCs w:val="24"/>
        </w:rPr>
        <w:t>1、申报方申请简易案件的理由是基于1-3项时，须在备注中说明界定的相关商品市场和相关地域市场（无须阐述界定理由），以及相关市场份额；市场份额可以区间形式提供，区间幅度不应超过5%。1-3项可以多选，也可单选；没有勾选的，视为本集中不涉及该类型交易。</w:t>
      </w:r>
    </w:p>
    <w:p w:rsidR="00094095" w:rsidRPr="00BB2377" w:rsidRDefault="005F167B" w:rsidP="00BB2377">
      <w:pPr>
        <w:spacing w:line="360" w:lineRule="auto"/>
        <w:ind w:firstLineChars="200" w:firstLine="480"/>
        <w:rPr>
          <w:rFonts w:ascii="楷体_GB2312" w:eastAsia="楷体_GB2312" w:hAnsi="Times New Roman"/>
          <w:sz w:val="28"/>
          <w:szCs w:val="28"/>
        </w:rPr>
      </w:pPr>
      <w:r w:rsidRPr="00BB2377">
        <w:rPr>
          <w:rFonts w:ascii="楷体_GB2312" w:eastAsia="楷体_GB2312" w:hAnsi="宋体" w:hint="eastAsia"/>
          <w:sz w:val="24"/>
          <w:szCs w:val="24"/>
        </w:rPr>
        <w:t>2、申报方申请简易案件的理由是基于第4项、第5项时，无须在备注中说明相关市场和市场份额。</w:t>
      </w:r>
      <w:r w:rsidRPr="00BB2377">
        <w:rPr>
          <w:rFonts w:ascii="楷体_GB2312" w:eastAsia="楷体_GB2312" w:hAnsi="宋体" w:hint="eastAsia"/>
          <w:sz w:val="24"/>
          <w:szCs w:val="24"/>
        </w:rPr>
        <w:br/>
      </w:r>
      <w:r w:rsidRPr="00BB2377">
        <w:rPr>
          <w:rFonts w:ascii="楷体_GB2312" w:eastAsia="楷体_GB2312" w:hAnsi="宋体" w:hint="eastAsia"/>
          <w:sz w:val="24"/>
          <w:szCs w:val="24"/>
        </w:rPr>
        <w:lastRenderedPageBreak/>
        <w:t xml:space="preserve">    3、由两个或两个以上经营者共同控制的合营企业，通过集中被其中的一个经营者控制，如果该经营者与合营企业属于同一相关市场的竞争者，则申报方在申请简易案件时，须同时勾选第1项和第6项理由，并在备注中说明界定的相关商品市场和相关地域市场（无须阐述界定理由），以及相关市场份额。市场份额可以区间形式提供，区间幅度不应超过5%。</w:t>
      </w:r>
    </w:p>
    <w:p w:rsidR="00F87C1F" w:rsidRDefault="00F87C1F"/>
    <w:sectPr w:rsidR="00F87C1F" w:rsidSect="00ED21B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1F7" w:rsidRDefault="00D431F7" w:rsidP="00094095">
      <w:r>
        <w:separator/>
      </w:r>
    </w:p>
  </w:endnote>
  <w:endnote w:type="continuationSeparator" w:id="1">
    <w:p w:rsidR="00D431F7" w:rsidRDefault="00D431F7" w:rsidP="000940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panose1 w:val="02010609030101010101"/>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16" w:rsidRDefault="003028E9">
    <w:pPr>
      <w:pStyle w:val="a7"/>
      <w:jc w:val="center"/>
    </w:pPr>
    <w:fldSimple w:instr=" PAGE   \* MERGEFORMAT ">
      <w:r w:rsidR="005D2980" w:rsidRPr="005D2980">
        <w:rPr>
          <w:noProof/>
          <w:lang w:val="zh-CN"/>
        </w:rPr>
        <w:t>2</w:t>
      </w:r>
    </w:fldSimple>
  </w:p>
  <w:p w:rsidR="005B6F16" w:rsidRDefault="005B6F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1F7" w:rsidRDefault="00D431F7" w:rsidP="00094095">
      <w:r>
        <w:separator/>
      </w:r>
    </w:p>
  </w:footnote>
  <w:footnote w:type="continuationSeparator" w:id="1">
    <w:p w:rsidR="00D431F7" w:rsidRDefault="00D431F7" w:rsidP="00094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23F68"/>
    <w:multiLevelType w:val="hybridMultilevel"/>
    <w:tmpl w:val="75EAF4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4095"/>
    <w:rsid w:val="00017EE3"/>
    <w:rsid w:val="00057A3B"/>
    <w:rsid w:val="00067856"/>
    <w:rsid w:val="00094095"/>
    <w:rsid w:val="000C31B5"/>
    <w:rsid w:val="001154EE"/>
    <w:rsid w:val="001401F6"/>
    <w:rsid w:val="0017393C"/>
    <w:rsid w:val="00245776"/>
    <w:rsid w:val="00273B6E"/>
    <w:rsid w:val="00292646"/>
    <w:rsid w:val="002F2D60"/>
    <w:rsid w:val="003028E9"/>
    <w:rsid w:val="00307976"/>
    <w:rsid w:val="00334539"/>
    <w:rsid w:val="00364F4B"/>
    <w:rsid w:val="00382340"/>
    <w:rsid w:val="0040270B"/>
    <w:rsid w:val="0043552E"/>
    <w:rsid w:val="00462174"/>
    <w:rsid w:val="004952F8"/>
    <w:rsid w:val="004F17E6"/>
    <w:rsid w:val="00520A97"/>
    <w:rsid w:val="00525005"/>
    <w:rsid w:val="005563FD"/>
    <w:rsid w:val="005B6F16"/>
    <w:rsid w:val="005D2980"/>
    <w:rsid w:val="005F167B"/>
    <w:rsid w:val="006312AA"/>
    <w:rsid w:val="00653F88"/>
    <w:rsid w:val="006649FF"/>
    <w:rsid w:val="007E3894"/>
    <w:rsid w:val="00856741"/>
    <w:rsid w:val="00907770"/>
    <w:rsid w:val="009225E9"/>
    <w:rsid w:val="00A4304A"/>
    <w:rsid w:val="00A95915"/>
    <w:rsid w:val="00AC7635"/>
    <w:rsid w:val="00AC7EB3"/>
    <w:rsid w:val="00AD13A6"/>
    <w:rsid w:val="00AD7DEE"/>
    <w:rsid w:val="00B753AE"/>
    <w:rsid w:val="00B830EF"/>
    <w:rsid w:val="00BA0750"/>
    <w:rsid w:val="00BB2377"/>
    <w:rsid w:val="00BE6F42"/>
    <w:rsid w:val="00C10296"/>
    <w:rsid w:val="00C22FD0"/>
    <w:rsid w:val="00C23AA2"/>
    <w:rsid w:val="00C9068E"/>
    <w:rsid w:val="00CE0A5E"/>
    <w:rsid w:val="00D21777"/>
    <w:rsid w:val="00D431F7"/>
    <w:rsid w:val="00D8332B"/>
    <w:rsid w:val="00DD2054"/>
    <w:rsid w:val="00E92F3E"/>
    <w:rsid w:val="00ED21B1"/>
    <w:rsid w:val="00F60EA3"/>
    <w:rsid w:val="00F62DD6"/>
    <w:rsid w:val="00F87C1F"/>
    <w:rsid w:val="00FD77A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Char"/>
    <w:uiPriority w:val="99"/>
    <w:semiHidden/>
    <w:unhideWhenUsed/>
    <w:rsid w:val="00094095"/>
    <w:pPr>
      <w:snapToGrid w:val="0"/>
      <w:jc w:val="left"/>
    </w:pPr>
  </w:style>
  <w:style w:type="character" w:customStyle="1" w:styleId="Char">
    <w:name w:val="尾注文本 Char"/>
    <w:basedOn w:val="a0"/>
    <w:link w:val="a4"/>
    <w:uiPriority w:val="99"/>
    <w:semiHidden/>
    <w:rsid w:val="00094095"/>
  </w:style>
  <w:style w:type="character" w:styleId="a5">
    <w:name w:val="endnote reference"/>
    <w:uiPriority w:val="99"/>
    <w:semiHidden/>
    <w:unhideWhenUsed/>
    <w:rsid w:val="00094095"/>
    <w:rPr>
      <w:vertAlign w:val="superscript"/>
    </w:rPr>
  </w:style>
  <w:style w:type="paragraph" w:styleId="a6">
    <w:name w:val="header"/>
    <w:basedOn w:val="a"/>
    <w:link w:val="Char0"/>
    <w:uiPriority w:val="99"/>
    <w:semiHidden/>
    <w:unhideWhenUsed/>
    <w:rsid w:val="00D21777"/>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6"/>
    <w:uiPriority w:val="99"/>
    <w:semiHidden/>
    <w:rsid w:val="00D21777"/>
    <w:rPr>
      <w:sz w:val="18"/>
      <w:szCs w:val="18"/>
    </w:rPr>
  </w:style>
  <w:style w:type="paragraph" w:styleId="a7">
    <w:name w:val="footer"/>
    <w:basedOn w:val="a"/>
    <w:link w:val="Char1"/>
    <w:uiPriority w:val="99"/>
    <w:unhideWhenUsed/>
    <w:rsid w:val="00D21777"/>
    <w:pPr>
      <w:tabs>
        <w:tab w:val="center" w:pos="4153"/>
        <w:tab w:val="right" w:pos="8306"/>
      </w:tabs>
      <w:snapToGrid w:val="0"/>
      <w:jc w:val="left"/>
    </w:pPr>
    <w:rPr>
      <w:kern w:val="0"/>
      <w:sz w:val="18"/>
      <w:szCs w:val="18"/>
    </w:rPr>
  </w:style>
  <w:style w:type="character" w:customStyle="1" w:styleId="Char1">
    <w:name w:val="页脚 Char"/>
    <w:link w:val="a7"/>
    <w:uiPriority w:val="99"/>
    <w:rsid w:val="00D21777"/>
    <w:rPr>
      <w:sz w:val="18"/>
      <w:szCs w:val="18"/>
    </w:rPr>
  </w:style>
  <w:style w:type="character" w:styleId="a8">
    <w:name w:val="annotation reference"/>
    <w:basedOn w:val="a0"/>
    <w:uiPriority w:val="99"/>
    <w:semiHidden/>
    <w:unhideWhenUsed/>
    <w:rsid w:val="007E3894"/>
    <w:rPr>
      <w:sz w:val="21"/>
      <w:szCs w:val="21"/>
    </w:rPr>
  </w:style>
  <w:style w:type="paragraph" w:styleId="a9">
    <w:name w:val="annotation text"/>
    <w:basedOn w:val="a"/>
    <w:link w:val="Char2"/>
    <w:uiPriority w:val="99"/>
    <w:unhideWhenUsed/>
    <w:rsid w:val="007E3894"/>
    <w:pPr>
      <w:jc w:val="left"/>
    </w:pPr>
  </w:style>
  <w:style w:type="character" w:customStyle="1" w:styleId="Char2">
    <w:name w:val="批注文字 Char"/>
    <w:basedOn w:val="a0"/>
    <w:link w:val="a9"/>
    <w:uiPriority w:val="99"/>
    <w:rsid w:val="007E3894"/>
    <w:rPr>
      <w:kern w:val="2"/>
      <w:sz w:val="21"/>
      <w:szCs w:val="22"/>
    </w:rPr>
  </w:style>
  <w:style w:type="paragraph" w:styleId="aa">
    <w:name w:val="annotation subject"/>
    <w:basedOn w:val="a9"/>
    <w:next w:val="a9"/>
    <w:link w:val="Char3"/>
    <w:uiPriority w:val="99"/>
    <w:semiHidden/>
    <w:unhideWhenUsed/>
    <w:rsid w:val="007E3894"/>
    <w:rPr>
      <w:b/>
      <w:bCs/>
    </w:rPr>
  </w:style>
  <w:style w:type="character" w:customStyle="1" w:styleId="Char3">
    <w:name w:val="批注主题 Char"/>
    <w:basedOn w:val="Char2"/>
    <w:link w:val="aa"/>
    <w:uiPriority w:val="99"/>
    <w:semiHidden/>
    <w:rsid w:val="007E3894"/>
    <w:rPr>
      <w:b/>
      <w:bCs/>
    </w:rPr>
  </w:style>
  <w:style w:type="paragraph" w:styleId="ab">
    <w:name w:val="Balloon Text"/>
    <w:basedOn w:val="a"/>
    <w:link w:val="Char4"/>
    <w:uiPriority w:val="99"/>
    <w:semiHidden/>
    <w:unhideWhenUsed/>
    <w:rsid w:val="007E3894"/>
    <w:rPr>
      <w:sz w:val="18"/>
      <w:szCs w:val="18"/>
    </w:rPr>
  </w:style>
  <w:style w:type="character" w:customStyle="1" w:styleId="Char4">
    <w:name w:val="批注框文本 Char"/>
    <w:basedOn w:val="a0"/>
    <w:link w:val="ab"/>
    <w:uiPriority w:val="99"/>
    <w:semiHidden/>
    <w:rsid w:val="007E3894"/>
    <w:rPr>
      <w:kern w:val="2"/>
      <w:sz w:val="18"/>
      <w:szCs w:val="18"/>
    </w:rPr>
  </w:style>
  <w:style w:type="paragraph" w:styleId="ac">
    <w:name w:val="List Paragraph"/>
    <w:basedOn w:val="a"/>
    <w:uiPriority w:val="34"/>
    <w:qFormat/>
    <w:rsid w:val="0040270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B4BA-1221-45A9-A21E-9091AC02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Kingson</cp:lastModifiedBy>
  <cp:revision>14</cp:revision>
  <cp:lastPrinted>2014-10-08T02:48:00Z</cp:lastPrinted>
  <dcterms:created xsi:type="dcterms:W3CDTF">2016-09-19T09:51:00Z</dcterms:created>
  <dcterms:modified xsi:type="dcterms:W3CDTF">2016-11-11T01:09:00Z</dcterms:modified>
</cp:coreProperties>
</file>