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AC" w:rsidRPr="007247AA" w:rsidRDefault="008107AC" w:rsidP="00094095">
      <w:pPr>
        <w:spacing w:line="440" w:lineRule="exact"/>
        <w:jc w:val="center"/>
        <w:rPr>
          <w:rFonts w:ascii="Times New Roman" w:hAnsi="Times New Roman"/>
          <w:sz w:val="30"/>
          <w:szCs w:val="30"/>
        </w:rPr>
      </w:pPr>
      <w:bookmarkStart w:id="0" w:name="_GoBack"/>
    </w:p>
    <w:p w:rsidR="008107AC" w:rsidRPr="007247AA" w:rsidRDefault="008107AC" w:rsidP="00094095">
      <w:pPr>
        <w:spacing w:line="440" w:lineRule="exact"/>
        <w:jc w:val="center"/>
        <w:rPr>
          <w:rFonts w:ascii="Times New Roman" w:hAnsi="Times New Roman"/>
          <w:sz w:val="30"/>
          <w:szCs w:val="30"/>
        </w:rPr>
      </w:pPr>
      <w:r w:rsidRPr="007247AA">
        <w:rPr>
          <w:rFonts w:ascii="Times New Roman" w:hAnsi="宋体" w:hint="eastAsia"/>
          <w:sz w:val="30"/>
          <w:szCs w:val="30"/>
        </w:rPr>
        <w:t>经营者集中简易案件公示表</w:t>
      </w:r>
    </w:p>
    <w:bookmarkEnd w:id="0"/>
    <w:p w:rsidR="008107AC" w:rsidRPr="007247AA" w:rsidRDefault="008107AC" w:rsidP="00094095">
      <w:pPr>
        <w:spacing w:line="440" w:lineRule="exact"/>
        <w:rPr>
          <w:rFonts w:ascii="Times New Roman" w:hAnsi="Times New Roman"/>
          <w:sz w:val="28"/>
          <w:szCs w:val="28"/>
        </w:rPr>
      </w:pPr>
    </w:p>
    <w:p w:rsidR="008107AC" w:rsidRPr="007247AA" w:rsidRDefault="008107AC" w:rsidP="00014E0B">
      <w:pPr>
        <w:spacing w:line="440" w:lineRule="exact"/>
        <w:ind w:firstLineChars="302" w:firstLine="31680"/>
        <w:rPr>
          <w:rFonts w:ascii="Times New Roman" w:hAnsi="Times New Roman"/>
          <w:sz w:val="28"/>
          <w:szCs w:val="28"/>
        </w:rPr>
      </w:pPr>
      <w:r w:rsidRPr="007247AA">
        <w:rPr>
          <w:rFonts w:ascii="Times New Roman" w:hAnsi="Times New Roman"/>
          <w:sz w:val="28"/>
          <w:szCs w:val="28"/>
        </w:rPr>
        <w:t xml:space="preserve">                         </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96"/>
        <w:gridCol w:w="5153"/>
      </w:tblGrid>
      <w:tr w:rsidR="008107AC" w:rsidRPr="007247AA" w:rsidTr="00C728C3">
        <w:tc>
          <w:tcPr>
            <w:tcW w:w="1809" w:type="dxa"/>
            <w:shd w:val="clear" w:color="auto" w:fill="D9D9D9"/>
          </w:tcPr>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案件名称</w:t>
            </w:r>
          </w:p>
        </w:tc>
        <w:tc>
          <w:tcPr>
            <w:tcW w:w="6949" w:type="dxa"/>
            <w:gridSpan w:val="2"/>
          </w:tcPr>
          <w:p w:rsidR="008107AC" w:rsidRPr="007247AA" w:rsidRDefault="008107AC" w:rsidP="000E4976">
            <w:pPr>
              <w:spacing w:line="500" w:lineRule="exact"/>
              <w:rPr>
                <w:rFonts w:ascii="Times New Roman" w:hAnsi="Times New Roman"/>
                <w:sz w:val="28"/>
                <w:szCs w:val="28"/>
              </w:rPr>
            </w:pPr>
            <w:r w:rsidRPr="007247AA">
              <w:rPr>
                <w:rFonts w:ascii="Times New Roman" w:hAnsi="宋体" w:hint="eastAsia"/>
                <w:sz w:val="28"/>
                <w:szCs w:val="28"/>
              </w:rPr>
              <w:t>罗尔斯</w:t>
            </w:r>
            <w:r w:rsidRPr="007247AA">
              <w:rPr>
                <w:rFonts w:ascii="Times New Roman" w:hAnsi="Times New Roman"/>
                <w:sz w:val="28"/>
                <w:szCs w:val="28"/>
              </w:rPr>
              <w:t>-</w:t>
            </w:r>
            <w:r w:rsidRPr="007247AA">
              <w:rPr>
                <w:rFonts w:ascii="Times New Roman" w:hAnsi="宋体" w:hint="eastAsia"/>
                <w:sz w:val="28"/>
                <w:szCs w:val="28"/>
              </w:rPr>
              <w:t>罗伊斯控股公司</w:t>
            </w:r>
            <w:r w:rsidRPr="007247AA">
              <w:rPr>
                <w:rFonts w:ascii="Times New Roman" w:hAnsi="Times New Roman"/>
                <w:sz w:val="28"/>
                <w:szCs w:val="28"/>
              </w:rPr>
              <w:t>(“</w:t>
            </w:r>
            <w:r w:rsidRPr="007247AA">
              <w:rPr>
                <w:rFonts w:ascii="Times New Roman" w:hAnsi="宋体" w:hint="eastAsia"/>
                <w:b/>
                <w:sz w:val="28"/>
                <w:szCs w:val="28"/>
              </w:rPr>
              <w:t>罗尔斯</w:t>
            </w:r>
            <w:r w:rsidRPr="007247AA">
              <w:rPr>
                <w:rFonts w:ascii="Times New Roman" w:hAnsi="Times New Roman"/>
                <w:b/>
                <w:sz w:val="28"/>
                <w:szCs w:val="28"/>
              </w:rPr>
              <w:t>-</w:t>
            </w:r>
            <w:r w:rsidRPr="007247AA">
              <w:rPr>
                <w:rFonts w:ascii="Times New Roman" w:hAnsi="宋体" w:hint="eastAsia"/>
                <w:b/>
                <w:sz w:val="28"/>
                <w:szCs w:val="28"/>
              </w:rPr>
              <w:t>罗伊斯</w:t>
            </w:r>
            <w:r w:rsidRPr="007247AA">
              <w:rPr>
                <w:rFonts w:ascii="Times New Roman" w:hAnsi="Times New Roman"/>
                <w:sz w:val="28"/>
                <w:szCs w:val="28"/>
              </w:rPr>
              <w:t>”)</w:t>
            </w:r>
            <w:r w:rsidRPr="007247AA">
              <w:rPr>
                <w:rFonts w:ascii="Times New Roman" w:hAnsi="宋体" w:hint="eastAsia"/>
                <w:sz w:val="28"/>
                <w:szCs w:val="28"/>
              </w:rPr>
              <w:t>拟收购罗尔斯罗伊斯动力系统控股公司</w:t>
            </w:r>
            <w:r w:rsidRPr="007247AA">
              <w:rPr>
                <w:rFonts w:ascii="Times New Roman" w:hAnsi="Times New Roman"/>
                <w:sz w:val="28"/>
                <w:szCs w:val="28"/>
              </w:rPr>
              <w:t>(“</w:t>
            </w:r>
            <w:r w:rsidRPr="007247AA">
              <w:rPr>
                <w:rFonts w:ascii="Times New Roman" w:hAnsi="宋体" w:hint="eastAsia"/>
                <w:b/>
                <w:sz w:val="28"/>
                <w:szCs w:val="28"/>
              </w:rPr>
              <w:t>罗尔斯罗伊斯动力系统</w:t>
            </w:r>
            <w:r w:rsidRPr="007247AA">
              <w:rPr>
                <w:rFonts w:ascii="Times New Roman" w:hAnsi="Times New Roman"/>
                <w:sz w:val="28"/>
                <w:szCs w:val="28"/>
              </w:rPr>
              <w:t>”)</w:t>
            </w:r>
            <w:r w:rsidRPr="007247AA">
              <w:rPr>
                <w:rFonts w:ascii="Times New Roman" w:hAnsi="宋体" w:hint="eastAsia"/>
                <w:sz w:val="28"/>
                <w:szCs w:val="28"/>
              </w:rPr>
              <w:t>单独控制权</w:t>
            </w:r>
            <w:r w:rsidRPr="007247AA">
              <w:rPr>
                <w:rFonts w:ascii="Times New Roman" w:hAnsi="Times New Roman"/>
                <w:sz w:val="28"/>
                <w:szCs w:val="28"/>
              </w:rPr>
              <w:t>(</w:t>
            </w:r>
            <w:r w:rsidRPr="007247AA">
              <w:rPr>
                <w:rFonts w:ascii="Times New Roman" w:hAnsi="宋体" w:hint="eastAsia"/>
                <w:sz w:val="28"/>
                <w:szCs w:val="28"/>
              </w:rPr>
              <w:t>共同控制变为单独控制</w:t>
            </w:r>
            <w:r w:rsidRPr="007247AA">
              <w:rPr>
                <w:rFonts w:ascii="Times New Roman" w:hAnsi="Times New Roman"/>
                <w:sz w:val="28"/>
                <w:szCs w:val="28"/>
              </w:rPr>
              <w:t>)</w:t>
            </w:r>
          </w:p>
        </w:tc>
      </w:tr>
      <w:tr w:rsidR="008107AC" w:rsidRPr="007247AA" w:rsidTr="00C728C3">
        <w:trPr>
          <w:trHeight w:val="993"/>
        </w:trPr>
        <w:tc>
          <w:tcPr>
            <w:tcW w:w="1809" w:type="dxa"/>
            <w:shd w:val="clear" w:color="auto" w:fill="D9D9D9"/>
          </w:tcPr>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交易概况（限</w:t>
            </w:r>
            <w:r w:rsidRPr="007247AA">
              <w:rPr>
                <w:rFonts w:ascii="Times New Roman" w:hAnsi="Times New Roman"/>
                <w:sz w:val="28"/>
                <w:szCs w:val="28"/>
              </w:rPr>
              <w:t>200</w:t>
            </w:r>
            <w:r w:rsidRPr="007247AA">
              <w:rPr>
                <w:rFonts w:ascii="Times New Roman" w:hAnsi="宋体" w:hint="eastAsia"/>
                <w:sz w:val="28"/>
                <w:szCs w:val="28"/>
              </w:rPr>
              <w:t>字内）</w:t>
            </w: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2014</w:t>
            </w:r>
            <w:r w:rsidRPr="007247AA">
              <w:rPr>
                <w:rFonts w:ascii="Times New Roman" w:hAnsi="宋体" w:hint="eastAsia"/>
                <w:sz w:val="28"/>
                <w:szCs w:val="28"/>
              </w:rPr>
              <w:t>年</w:t>
            </w:r>
            <w:r w:rsidRPr="007247AA">
              <w:rPr>
                <w:rFonts w:ascii="Times New Roman" w:hAnsi="Times New Roman"/>
                <w:sz w:val="28"/>
                <w:szCs w:val="28"/>
              </w:rPr>
              <w:t>3</w:t>
            </w:r>
            <w:r w:rsidRPr="007247AA">
              <w:rPr>
                <w:rFonts w:ascii="Times New Roman" w:hAnsi="宋体" w:hint="eastAsia"/>
                <w:sz w:val="28"/>
                <w:szCs w:val="28"/>
              </w:rPr>
              <w:t>月</w:t>
            </w:r>
            <w:r w:rsidRPr="007247AA">
              <w:rPr>
                <w:rFonts w:ascii="Times New Roman" w:hAnsi="Times New Roman"/>
                <w:sz w:val="28"/>
                <w:szCs w:val="28"/>
              </w:rPr>
              <w:t>25</w:t>
            </w:r>
            <w:r w:rsidRPr="007247AA">
              <w:rPr>
                <w:rFonts w:ascii="Times New Roman" w:hAnsi="宋体" w:hint="eastAsia"/>
                <w:sz w:val="28"/>
                <w:szCs w:val="28"/>
              </w:rPr>
              <w:t>日，戴姆勒公司决定行使其</w:t>
            </w:r>
            <w:r w:rsidRPr="007247AA">
              <w:rPr>
                <w:rFonts w:ascii="Times New Roman" w:hAnsi="Times New Roman"/>
                <w:sz w:val="28"/>
                <w:szCs w:val="28"/>
              </w:rPr>
              <w:t>2011</w:t>
            </w:r>
            <w:r w:rsidRPr="007247AA">
              <w:rPr>
                <w:rFonts w:ascii="Times New Roman" w:hAnsi="宋体" w:hint="eastAsia"/>
                <w:sz w:val="28"/>
                <w:szCs w:val="28"/>
              </w:rPr>
              <w:t>年</w:t>
            </w:r>
            <w:r w:rsidRPr="007247AA">
              <w:rPr>
                <w:rFonts w:ascii="Times New Roman" w:hAnsi="Times New Roman"/>
                <w:sz w:val="28"/>
                <w:szCs w:val="28"/>
              </w:rPr>
              <w:t>3</w:t>
            </w:r>
            <w:r w:rsidRPr="007247AA">
              <w:rPr>
                <w:rFonts w:ascii="Times New Roman" w:hAnsi="宋体" w:hint="eastAsia"/>
                <w:sz w:val="28"/>
                <w:szCs w:val="28"/>
              </w:rPr>
              <w:t>月</w:t>
            </w:r>
            <w:r w:rsidRPr="007247AA">
              <w:rPr>
                <w:rFonts w:ascii="Times New Roman" w:hAnsi="Times New Roman"/>
                <w:sz w:val="28"/>
                <w:szCs w:val="28"/>
              </w:rPr>
              <w:t>9</w:t>
            </w:r>
            <w:r w:rsidRPr="007247AA">
              <w:rPr>
                <w:rFonts w:ascii="Times New Roman" w:hAnsi="宋体" w:hint="eastAsia"/>
                <w:sz w:val="28"/>
                <w:szCs w:val="28"/>
              </w:rPr>
              <w:t>日与罗尔斯</w:t>
            </w:r>
            <w:r w:rsidRPr="007247AA">
              <w:rPr>
                <w:rFonts w:ascii="Times New Roman" w:hAnsi="Times New Roman"/>
                <w:sz w:val="28"/>
                <w:szCs w:val="28"/>
              </w:rPr>
              <w:t>-</w:t>
            </w:r>
            <w:r w:rsidRPr="007247AA">
              <w:rPr>
                <w:rFonts w:ascii="Times New Roman" w:hAnsi="宋体" w:hint="eastAsia"/>
                <w:sz w:val="28"/>
                <w:szCs w:val="28"/>
              </w:rPr>
              <w:t>罗伊斯签署的股东协议（</w:t>
            </w:r>
            <w:r w:rsidRPr="007247AA">
              <w:rPr>
                <w:rFonts w:ascii="Times New Roman" w:hAnsi="Times New Roman"/>
                <w:b/>
                <w:sz w:val="28"/>
                <w:szCs w:val="28"/>
              </w:rPr>
              <w:t>“</w:t>
            </w:r>
            <w:r w:rsidRPr="007247AA">
              <w:rPr>
                <w:rFonts w:ascii="Times New Roman" w:hAnsi="宋体" w:hint="eastAsia"/>
                <w:b/>
                <w:sz w:val="28"/>
                <w:szCs w:val="28"/>
              </w:rPr>
              <w:t>股东协议</w:t>
            </w:r>
            <w:r w:rsidRPr="007247AA">
              <w:rPr>
                <w:rFonts w:ascii="Times New Roman" w:hAnsi="Times New Roman"/>
                <w:sz w:val="28"/>
                <w:szCs w:val="28"/>
              </w:rPr>
              <w:t>”</w:t>
            </w:r>
            <w:r w:rsidRPr="007247AA">
              <w:rPr>
                <w:rFonts w:ascii="Times New Roman" w:hAnsi="宋体" w:hint="eastAsia"/>
                <w:sz w:val="28"/>
                <w:szCs w:val="28"/>
              </w:rPr>
              <w:t>）中的卖出期权。</w:t>
            </w:r>
          </w:p>
          <w:p w:rsidR="008107AC" w:rsidRPr="007247AA" w:rsidRDefault="008107AC" w:rsidP="00C728C3">
            <w:pPr>
              <w:spacing w:line="500" w:lineRule="exact"/>
              <w:rPr>
                <w:rFonts w:ascii="Times New Roman" w:hAnsi="Times New Roman"/>
                <w:sz w:val="28"/>
                <w:szCs w:val="28"/>
              </w:rPr>
            </w:pPr>
          </w:p>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交易完成后，罗尔斯</w:t>
            </w:r>
            <w:r w:rsidRPr="007247AA">
              <w:rPr>
                <w:rFonts w:ascii="Times New Roman" w:hAnsi="Times New Roman"/>
                <w:sz w:val="28"/>
                <w:szCs w:val="28"/>
              </w:rPr>
              <w:t>-</w:t>
            </w:r>
            <w:r w:rsidRPr="007247AA">
              <w:rPr>
                <w:rFonts w:ascii="Times New Roman" w:hAnsi="宋体" w:hint="eastAsia"/>
                <w:sz w:val="28"/>
                <w:szCs w:val="28"/>
              </w:rPr>
              <w:t>罗伊斯控股公司对罗尔斯罗伊斯动力系统控股公司的控制权将从共同控制变为单独控制，戴姆勒公司将不再持有罗尔斯罗伊斯动力系统控股公司的任何权益。</w:t>
            </w:r>
          </w:p>
        </w:tc>
      </w:tr>
      <w:tr w:rsidR="008107AC" w:rsidRPr="007247AA" w:rsidTr="00C728C3">
        <w:trPr>
          <w:trHeight w:val="468"/>
        </w:trPr>
        <w:tc>
          <w:tcPr>
            <w:tcW w:w="1809" w:type="dxa"/>
            <w:vMerge w:val="restart"/>
            <w:shd w:val="clear" w:color="auto" w:fill="D9D9D9"/>
          </w:tcPr>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参与集中的经营者简介</w:t>
            </w:r>
          </w:p>
        </w:tc>
        <w:tc>
          <w:tcPr>
            <w:tcW w:w="1796" w:type="dxa"/>
          </w:tcPr>
          <w:p w:rsidR="008107AC" w:rsidRPr="007247AA" w:rsidRDefault="008107AC" w:rsidP="00C728C3">
            <w:pPr>
              <w:spacing w:line="500" w:lineRule="exact"/>
              <w:rPr>
                <w:rFonts w:ascii="Times New Roman" w:hAnsi="Times New Roman"/>
                <w:sz w:val="28"/>
                <w:szCs w:val="28"/>
              </w:rPr>
            </w:pPr>
            <w:r w:rsidRPr="007247AA">
              <w:rPr>
                <w:rFonts w:ascii="Times New Roman" w:hAnsi="宋体"/>
                <w:sz w:val="28"/>
                <w:szCs w:val="28"/>
              </w:rPr>
              <w:t>1</w:t>
            </w:r>
            <w:r w:rsidRPr="007247AA">
              <w:rPr>
                <w:rFonts w:ascii="Times New Roman" w:hAnsi="宋体" w:hint="eastAsia"/>
                <w:sz w:val="28"/>
                <w:szCs w:val="28"/>
              </w:rPr>
              <w:t>、罗尔斯</w:t>
            </w:r>
            <w:r w:rsidRPr="007247AA">
              <w:rPr>
                <w:rFonts w:ascii="Times New Roman" w:hAnsi="宋体"/>
                <w:sz w:val="28"/>
                <w:szCs w:val="28"/>
              </w:rPr>
              <w:t>-</w:t>
            </w:r>
            <w:r w:rsidRPr="007247AA">
              <w:rPr>
                <w:rFonts w:ascii="Times New Roman" w:hAnsi="宋体" w:hint="eastAsia"/>
                <w:sz w:val="28"/>
                <w:szCs w:val="28"/>
              </w:rPr>
              <w:t>罗伊斯控股公司</w:t>
            </w:r>
          </w:p>
        </w:tc>
        <w:tc>
          <w:tcPr>
            <w:tcW w:w="5153" w:type="dxa"/>
          </w:tcPr>
          <w:p w:rsidR="008107AC" w:rsidRDefault="008107AC" w:rsidP="007247AA">
            <w:pPr>
              <w:spacing w:line="500" w:lineRule="exact"/>
              <w:rPr>
                <w:rFonts w:ascii="Times New Roman" w:hAnsi="宋体"/>
                <w:sz w:val="28"/>
                <w:szCs w:val="28"/>
              </w:rPr>
            </w:pPr>
            <w:r w:rsidRPr="007247AA">
              <w:rPr>
                <w:rFonts w:ascii="Times New Roman" w:hAnsi="宋体" w:hint="eastAsia"/>
                <w:sz w:val="28"/>
                <w:szCs w:val="28"/>
              </w:rPr>
              <w:t>罗尔斯</w:t>
            </w:r>
            <w:r w:rsidRPr="007247AA">
              <w:rPr>
                <w:rFonts w:ascii="Times New Roman" w:hAnsi="宋体"/>
                <w:sz w:val="28"/>
                <w:szCs w:val="28"/>
              </w:rPr>
              <w:t>-</w:t>
            </w:r>
            <w:r w:rsidRPr="007247AA">
              <w:rPr>
                <w:rFonts w:ascii="Times New Roman" w:hAnsi="宋体" w:hint="eastAsia"/>
                <w:sz w:val="28"/>
                <w:szCs w:val="28"/>
              </w:rPr>
              <w:t>罗伊斯目前持有罗尔斯罗伊斯动力系统</w:t>
            </w:r>
            <w:r w:rsidRPr="007247AA">
              <w:rPr>
                <w:rFonts w:ascii="Times New Roman" w:hAnsi="宋体"/>
                <w:sz w:val="28"/>
                <w:szCs w:val="28"/>
              </w:rPr>
              <w:t>50%</w:t>
            </w:r>
            <w:r w:rsidRPr="007247AA">
              <w:rPr>
                <w:rFonts w:ascii="Times New Roman" w:hAnsi="宋体" w:hint="eastAsia"/>
                <w:sz w:val="28"/>
                <w:szCs w:val="28"/>
              </w:rPr>
              <w:t>股权。根据股东协议，若戴姆勒公司行使其卖出期权，则罗尔斯</w:t>
            </w:r>
            <w:r w:rsidRPr="007247AA">
              <w:rPr>
                <w:rFonts w:ascii="Times New Roman" w:hAnsi="宋体"/>
                <w:sz w:val="28"/>
                <w:szCs w:val="28"/>
              </w:rPr>
              <w:t>-</w:t>
            </w:r>
            <w:r w:rsidRPr="007247AA">
              <w:rPr>
                <w:rFonts w:ascii="Times New Roman" w:hAnsi="宋体" w:hint="eastAsia"/>
                <w:sz w:val="28"/>
                <w:szCs w:val="28"/>
              </w:rPr>
              <w:t>罗伊斯有义务购买戴姆勒公司持有的罗尔斯罗伊斯动力系统股份。</w:t>
            </w:r>
          </w:p>
          <w:p w:rsidR="008107AC" w:rsidRPr="007247AA" w:rsidRDefault="008107AC" w:rsidP="007247AA">
            <w:pPr>
              <w:spacing w:line="500" w:lineRule="exact"/>
              <w:rPr>
                <w:rFonts w:ascii="Times New Roman" w:hAnsi="宋体"/>
                <w:sz w:val="28"/>
                <w:szCs w:val="28"/>
              </w:rPr>
            </w:pPr>
          </w:p>
          <w:p w:rsidR="008107AC" w:rsidRPr="007247AA" w:rsidRDefault="008107AC" w:rsidP="007247AA">
            <w:pPr>
              <w:spacing w:line="500" w:lineRule="exact"/>
              <w:rPr>
                <w:rFonts w:ascii="Times New Roman" w:hAnsi="Times New Roman"/>
                <w:sz w:val="28"/>
                <w:szCs w:val="28"/>
                <w:lang w:val="en-GB"/>
              </w:rPr>
            </w:pPr>
            <w:r w:rsidRPr="007247AA">
              <w:rPr>
                <w:rFonts w:ascii="Times New Roman" w:hAnsi="宋体" w:hint="eastAsia"/>
                <w:sz w:val="28"/>
                <w:szCs w:val="28"/>
              </w:rPr>
              <w:t>罗尔斯</w:t>
            </w:r>
            <w:r w:rsidRPr="007247AA">
              <w:rPr>
                <w:rFonts w:ascii="Times New Roman" w:hAnsi="宋体"/>
                <w:sz w:val="28"/>
                <w:szCs w:val="28"/>
              </w:rPr>
              <w:t>-</w:t>
            </w:r>
            <w:r w:rsidRPr="007247AA">
              <w:rPr>
                <w:rFonts w:ascii="Times New Roman" w:hAnsi="宋体" w:hint="eastAsia"/>
                <w:sz w:val="28"/>
                <w:szCs w:val="28"/>
              </w:rPr>
              <w:t>罗伊斯是罗尔斯</w:t>
            </w:r>
            <w:r w:rsidRPr="007247AA">
              <w:rPr>
                <w:rFonts w:ascii="Times New Roman" w:hAnsi="宋体"/>
                <w:sz w:val="28"/>
                <w:szCs w:val="28"/>
              </w:rPr>
              <w:t>-</w:t>
            </w:r>
            <w:r w:rsidRPr="007247AA">
              <w:rPr>
                <w:rFonts w:ascii="Times New Roman" w:hAnsi="宋体" w:hint="eastAsia"/>
                <w:sz w:val="28"/>
                <w:szCs w:val="28"/>
              </w:rPr>
              <w:t>罗伊斯集团的控股公司。罗尔斯</w:t>
            </w:r>
            <w:r w:rsidRPr="007247AA">
              <w:rPr>
                <w:rFonts w:ascii="Times New Roman" w:hAnsi="宋体"/>
                <w:sz w:val="28"/>
                <w:szCs w:val="28"/>
              </w:rPr>
              <w:t>-</w:t>
            </w:r>
            <w:r w:rsidRPr="007247AA">
              <w:rPr>
                <w:rFonts w:ascii="Times New Roman" w:hAnsi="宋体" w:hint="eastAsia"/>
                <w:sz w:val="28"/>
                <w:szCs w:val="28"/>
              </w:rPr>
              <w:t>罗伊斯市一家伦敦证券交易所上市公司，其主要业务分为两大部分：（</w:t>
            </w:r>
            <w:r w:rsidRPr="007247AA">
              <w:rPr>
                <w:rFonts w:ascii="Times New Roman" w:hAnsi="宋体"/>
                <w:sz w:val="28"/>
                <w:szCs w:val="28"/>
              </w:rPr>
              <w:t>a</w:t>
            </w:r>
            <w:r w:rsidRPr="007247AA">
              <w:rPr>
                <w:rFonts w:ascii="Times New Roman" w:hAnsi="宋体" w:hint="eastAsia"/>
                <w:sz w:val="28"/>
                <w:szCs w:val="28"/>
              </w:rPr>
              <w:t>）航空和（</w:t>
            </w:r>
            <w:r w:rsidRPr="007247AA">
              <w:rPr>
                <w:rFonts w:ascii="Times New Roman" w:hAnsi="宋体"/>
                <w:sz w:val="28"/>
                <w:szCs w:val="28"/>
              </w:rPr>
              <w:t>b</w:t>
            </w:r>
            <w:r w:rsidRPr="007247AA">
              <w:rPr>
                <w:rFonts w:ascii="Times New Roman" w:hAnsi="宋体" w:hint="eastAsia"/>
                <w:sz w:val="28"/>
                <w:szCs w:val="28"/>
              </w:rPr>
              <w:t>）船舶和工业动力系统（</w:t>
            </w:r>
            <w:r w:rsidRPr="007247AA">
              <w:rPr>
                <w:rFonts w:ascii="Times New Roman" w:hAnsi="宋体"/>
                <w:sz w:val="28"/>
                <w:szCs w:val="28"/>
              </w:rPr>
              <w:t>MPS</w:t>
            </w:r>
            <w:r w:rsidRPr="007247AA">
              <w:rPr>
                <w:rFonts w:ascii="Times New Roman" w:hAnsi="宋体" w:hint="eastAsia"/>
                <w:sz w:val="28"/>
                <w:szCs w:val="28"/>
              </w:rPr>
              <w:t>）。航空包括（</w:t>
            </w:r>
            <w:r w:rsidRPr="007247AA">
              <w:rPr>
                <w:rFonts w:ascii="Times New Roman" w:hAnsi="宋体"/>
                <w:sz w:val="28"/>
                <w:szCs w:val="28"/>
              </w:rPr>
              <w:t>i</w:t>
            </w:r>
            <w:r w:rsidRPr="007247AA">
              <w:rPr>
                <w:rFonts w:ascii="Times New Roman" w:hAnsi="宋体" w:hint="eastAsia"/>
                <w:sz w:val="28"/>
                <w:szCs w:val="28"/>
              </w:rPr>
              <w:t>）民用航空和（</w:t>
            </w:r>
            <w:r w:rsidRPr="007247AA">
              <w:rPr>
                <w:rFonts w:ascii="Times New Roman" w:hAnsi="宋体"/>
                <w:sz w:val="28"/>
                <w:szCs w:val="28"/>
              </w:rPr>
              <w:t>ii</w:t>
            </w:r>
            <w:r w:rsidRPr="007247AA">
              <w:rPr>
                <w:rFonts w:ascii="Times New Roman" w:hAnsi="宋体" w:hint="eastAsia"/>
                <w:sz w:val="28"/>
                <w:szCs w:val="28"/>
              </w:rPr>
              <w:t>）国防航空，</w:t>
            </w:r>
            <w:r w:rsidRPr="007247AA">
              <w:rPr>
                <w:rFonts w:ascii="Times New Roman" w:hAnsi="宋体"/>
                <w:sz w:val="28"/>
                <w:szCs w:val="28"/>
              </w:rPr>
              <w:t>MPS</w:t>
            </w:r>
            <w:r w:rsidRPr="007247AA">
              <w:rPr>
                <w:rFonts w:ascii="Times New Roman" w:hAnsi="宋体" w:hint="eastAsia"/>
                <w:sz w:val="28"/>
                <w:szCs w:val="28"/>
              </w:rPr>
              <w:t>包括</w:t>
            </w:r>
            <w:bookmarkStart w:id="1" w:name="_DV_M161"/>
            <w:bookmarkEnd w:id="1"/>
            <w:r w:rsidRPr="007247AA">
              <w:rPr>
                <w:rFonts w:ascii="Times New Roman" w:hAnsi="宋体" w:hint="eastAsia"/>
                <w:sz w:val="28"/>
                <w:szCs w:val="28"/>
              </w:rPr>
              <w:t>（</w:t>
            </w:r>
            <w:r w:rsidRPr="007247AA">
              <w:rPr>
                <w:rFonts w:ascii="Times New Roman" w:hAnsi="宋体"/>
                <w:sz w:val="28"/>
                <w:szCs w:val="28"/>
              </w:rPr>
              <w:t>iii</w:t>
            </w:r>
            <w:r w:rsidRPr="007247AA">
              <w:rPr>
                <w:rFonts w:ascii="Times New Roman" w:hAnsi="宋体" w:hint="eastAsia"/>
                <w:sz w:val="28"/>
                <w:szCs w:val="28"/>
              </w:rPr>
              <w:t>）</w:t>
            </w:r>
            <w:r w:rsidRPr="007247AA">
              <w:rPr>
                <w:rFonts w:ascii="Times New Roman" w:hAnsi="宋体"/>
                <w:sz w:val="28"/>
                <w:szCs w:val="28"/>
              </w:rPr>
              <w:t xml:space="preserve"> </w:t>
            </w:r>
            <w:r w:rsidRPr="007247AA">
              <w:rPr>
                <w:rFonts w:ascii="Times New Roman" w:hAnsi="宋体" w:hint="eastAsia"/>
                <w:sz w:val="28"/>
                <w:szCs w:val="28"/>
              </w:rPr>
              <w:t>船舶；</w:t>
            </w:r>
            <w:r w:rsidRPr="007247AA">
              <w:rPr>
                <w:rFonts w:ascii="Times New Roman" w:hAnsi="宋体"/>
                <w:sz w:val="28"/>
                <w:szCs w:val="28"/>
              </w:rPr>
              <w:t xml:space="preserve"> </w:t>
            </w:r>
            <w:r w:rsidRPr="007247AA">
              <w:rPr>
                <w:rFonts w:ascii="Times New Roman" w:hAnsi="宋体" w:hint="eastAsia"/>
                <w:sz w:val="28"/>
                <w:szCs w:val="28"/>
              </w:rPr>
              <w:t>（</w:t>
            </w:r>
            <w:r w:rsidRPr="007247AA">
              <w:rPr>
                <w:rFonts w:ascii="Times New Roman" w:hAnsi="宋体"/>
                <w:sz w:val="28"/>
                <w:szCs w:val="28"/>
              </w:rPr>
              <w:t>iv</w:t>
            </w:r>
            <w:r w:rsidRPr="007247AA">
              <w:rPr>
                <w:rFonts w:ascii="Times New Roman" w:hAnsi="宋体" w:hint="eastAsia"/>
                <w:sz w:val="28"/>
                <w:szCs w:val="28"/>
              </w:rPr>
              <w:t>）</w:t>
            </w:r>
            <w:r w:rsidRPr="007247AA">
              <w:rPr>
                <w:rFonts w:ascii="Times New Roman" w:hAnsi="宋体"/>
                <w:sz w:val="28"/>
                <w:szCs w:val="28"/>
              </w:rPr>
              <w:t xml:space="preserve"> </w:t>
            </w:r>
            <w:r w:rsidRPr="007247AA">
              <w:rPr>
                <w:rFonts w:ascii="Times New Roman" w:hAnsi="宋体" w:hint="eastAsia"/>
                <w:sz w:val="28"/>
                <w:szCs w:val="28"/>
              </w:rPr>
              <w:t>能源；和</w:t>
            </w:r>
            <w:r w:rsidRPr="007247AA">
              <w:rPr>
                <w:rFonts w:ascii="Times New Roman" w:hAnsi="宋体"/>
                <w:sz w:val="28"/>
                <w:szCs w:val="28"/>
              </w:rPr>
              <w:t xml:space="preserve"> </w:t>
            </w:r>
            <w:r w:rsidRPr="007247AA">
              <w:rPr>
                <w:rFonts w:ascii="Times New Roman" w:hAnsi="宋体" w:hint="eastAsia"/>
                <w:sz w:val="28"/>
                <w:szCs w:val="28"/>
              </w:rPr>
              <w:t>（</w:t>
            </w:r>
            <w:r w:rsidRPr="007247AA">
              <w:rPr>
                <w:rFonts w:ascii="Times New Roman" w:hAnsi="宋体"/>
                <w:sz w:val="28"/>
                <w:szCs w:val="28"/>
              </w:rPr>
              <w:t>v</w:t>
            </w:r>
            <w:r w:rsidRPr="007247AA">
              <w:rPr>
                <w:rFonts w:ascii="Times New Roman" w:hAnsi="宋体" w:hint="eastAsia"/>
                <w:sz w:val="28"/>
                <w:szCs w:val="28"/>
              </w:rPr>
              <w:t>）</w:t>
            </w:r>
            <w:r w:rsidRPr="007247AA">
              <w:rPr>
                <w:rFonts w:ascii="Times New Roman" w:hAnsi="宋体"/>
                <w:sz w:val="28"/>
                <w:szCs w:val="28"/>
              </w:rPr>
              <w:t xml:space="preserve"> </w:t>
            </w:r>
            <w:r w:rsidRPr="007247AA">
              <w:rPr>
                <w:rFonts w:ascii="Times New Roman" w:hAnsi="宋体" w:hint="eastAsia"/>
                <w:sz w:val="28"/>
                <w:szCs w:val="28"/>
              </w:rPr>
              <w:t>动力系统。罗尔斯</w:t>
            </w:r>
            <w:r w:rsidRPr="007247AA">
              <w:rPr>
                <w:rFonts w:ascii="Times New Roman" w:hAnsi="宋体"/>
                <w:sz w:val="28"/>
                <w:szCs w:val="28"/>
              </w:rPr>
              <w:t>-</w:t>
            </w:r>
            <w:r w:rsidRPr="007247AA">
              <w:rPr>
                <w:rFonts w:ascii="Times New Roman" w:hAnsi="宋体" w:hint="eastAsia"/>
                <w:sz w:val="28"/>
                <w:szCs w:val="28"/>
              </w:rPr>
              <w:t>罗伊斯最知名的业务为民用航空业务，但是罗尔斯</w:t>
            </w:r>
            <w:r w:rsidRPr="007247AA">
              <w:rPr>
                <w:rFonts w:ascii="Times New Roman" w:hAnsi="宋体"/>
                <w:sz w:val="28"/>
                <w:szCs w:val="28"/>
              </w:rPr>
              <w:t>-</w:t>
            </w:r>
            <w:r w:rsidRPr="007247AA">
              <w:rPr>
                <w:rFonts w:ascii="Times New Roman" w:hAnsi="宋体" w:hint="eastAsia"/>
                <w:sz w:val="28"/>
                <w:szCs w:val="28"/>
              </w:rPr>
              <w:t>罗伊斯还从事动力系统制造业务，其已为船舶、工业、油气、国防和发电市场生产了</w:t>
            </w:r>
            <w:r w:rsidRPr="007247AA">
              <w:rPr>
                <w:rFonts w:ascii="Times New Roman" w:hAnsi="宋体"/>
                <w:sz w:val="28"/>
                <w:szCs w:val="28"/>
              </w:rPr>
              <w:t>80</w:t>
            </w:r>
            <w:r w:rsidRPr="007247AA">
              <w:rPr>
                <w:rFonts w:ascii="Times New Roman" w:hAnsi="宋体" w:hint="eastAsia"/>
                <w:sz w:val="28"/>
                <w:szCs w:val="28"/>
              </w:rPr>
              <w:t>万件动力系统产品。</w:t>
            </w:r>
          </w:p>
        </w:tc>
      </w:tr>
      <w:tr w:rsidR="008107AC" w:rsidRPr="007247AA" w:rsidTr="00C728C3">
        <w:trPr>
          <w:trHeight w:val="404"/>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1796" w:type="dxa"/>
          </w:tcPr>
          <w:p w:rsidR="008107AC" w:rsidRPr="007247AA" w:rsidRDefault="008107AC" w:rsidP="00C728C3">
            <w:pPr>
              <w:spacing w:line="500" w:lineRule="exact"/>
              <w:rPr>
                <w:rFonts w:ascii="Times New Roman" w:hAnsi="Times New Roman"/>
                <w:sz w:val="28"/>
                <w:szCs w:val="28"/>
              </w:rPr>
            </w:pPr>
            <w:r w:rsidRPr="007247AA">
              <w:rPr>
                <w:rFonts w:ascii="Times New Roman" w:hAnsi="宋体"/>
                <w:sz w:val="28"/>
                <w:szCs w:val="28"/>
              </w:rPr>
              <w:t>2</w:t>
            </w:r>
            <w:r w:rsidRPr="007247AA">
              <w:rPr>
                <w:rFonts w:ascii="Times New Roman" w:hAnsi="宋体" w:hint="eastAsia"/>
                <w:sz w:val="28"/>
                <w:szCs w:val="28"/>
              </w:rPr>
              <w:t>、罗尔斯罗伊斯动力系统控股公司</w:t>
            </w:r>
          </w:p>
        </w:tc>
        <w:tc>
          <w:tcPr>
            <w:tcW w:w="5153" w:type="dxa"/>
          </w:tcPr>
          <w:p w:rsidR="008107AC" w:rsidRDefault="008107AC" w:rsidP="007247AA">
            <w:pPr>
              <w:spacing w:line="500" w:lineRule="exact"/>
              <w:rPr>
                <w:rFonts w:ascii="Times New Roman" w:hAnsi="宋体"/>
                <w:sz w:val="28"/>
                <w:szCs w:val="28"/>
              </w:rPr>
            </w:pPr>
            <w:r w:rsidRPr="007247AA">
              <w:rPr>
                <w:rFonts w:ascii="Times New Roman" w:hAnsi="宋体" w:hint="eastAsia"/>
                <w:sz w:val="28"/>
                <w:szCs w:val="28"/>
              </w:rPr>
              <w:t>罗尔斯罗伊斯动力系统是本次拟议交易的目标公司。</w:t>
            </w:r>
          </w:p>
          <w:p w:rsidR="008107AC" w:rsidRPr="007247AA" w:rsidRDefault="008107AC" w:rsidP="007247AA">
            <w:pPr>
              <w:spacing w:line="500" w:lineRule="exact"/>
              <w:rPr>
                <w:rFonts w:ascii="Times New Roman" w:hAnsi="宋体"/>
                <w:sz w:val="28"/>
                <w:szCs w:val="28"/>
              </w:rPr>
            </w:pPr>
          </w:p>
          <w:p w:rsidR="008107AC" w:rsidRPr="007247AA" w:rsidRDefault="008107AC" w:rsidP="003F243F">
            <w:pPr>
              <w:spacing w:line="500" w:lineRule="exact"/>
              <w:rPr>
                <w:rFonts w:ascii="Times New Roman" w:hAnsi="Times New Roman"/>
                <w:sz w:val="28"/>
                <w:szCs w:val="28"/>
              </w:rPr>
            </w:pPr>
            <w:r w:rsidRPr="007247AA">
              <w:rPr>
                <w:rFonts w:ascii="Times New Roman" w:hAnsi="宋体" w:hint="eastAsia"/>
                <w:sz w:val="28"/>
                <w:szCs w:val="28"/>
              </w:rPr>
              <w:t>罗尔斯罗伊斯动力系统专注于生产和销售往复式发动机、推进系统和分布式能源系统领域。罗尔斯罗伊斯动力系统主要生产非公路用途（农业、建筑、铁路、其他工业领域、发电和船舶领域）的高速和中速柴油和燃气往复式发动机。</w:t>
            </w:r>
          </w:p>
        </w:tc>
      </w:tr>
      <w:tr w:rsidR="008107AC" w:rsidRPr="007247AA" w:rsidTr="00C728C3">
        <w:trPr>
          <w:trHeight w:val="279"/>
        </w:trPr>
        <w:tc>
          <w:tcPr>
            <w:tcW w:w="1809" w:type="dxa"/>
            <w:vMerge w:val="restart"/>
            <w:shd w:val="clear" w:color="auto" w:fill="D9D9D9"/>
          </w:tcPr>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简易案件理由（可多选）</w:t>
            </w: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□1</w:t>
            </w:r>
            <w:r w:rsidRPr="007247AA">
              <w:rPr>
                <w:rFonts w:ascii="Times New Roman" w:hAnsi="宋体" w:hint="eastAsia"/>
                <w:sz w:val="28"/>
                <w:szCs w:val="28"/>
              </w:rPr>
              <w:t>、在同一相关市场，所有参与集中的经营者所占市场份额之和小于</w:t>
            </w:r>
            <w:r w:rsidRPr="007247AA">
              <w:rPr>
                <w:rFonts w:ascii="Times New Roman" w:hAnsi="Times New Roman"/>
                <w:sz w:val="28"/>
                <w:szCs w:val="28"/>
              </w:rPr>
              <w:t>15%</w:t>
            </w:r>
            <w:r w:rsidRPr="007247AA">
              <w:rPr>
                <w:rFonts w:ascii="Times New Roman" w:hAnsi="宋体" w:hint="eastAsia"/>
                <w:sz w:val="28"/>
                <w:szCs w:val="28"/>
              </w:rPr>
              <w:t>。</w:t>
            </w:r>
          </w:p>
        </w:tc>
      </w:tr>
      <w:tr w:rsidR="008107AC" w:rsidRPr="007247AA" w:rsidTr="00C728C3">
        <w:trPr>
          <w:trHeight w:val="330"/>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□2</w:t>
            </w:r>
            <w:r w:rsidRPr="007247AA">
              <w:rPr>
                <w:rFonts w:ascii="Times New Roman" w:hAnsi="宋体" w:hint="eastAsia"/>
                <w:sz w:val="28"/>
                <w:szCs w:val="28"/>
              </w:rPr>
              <w:t>、存在上下游关系的参与集中的经营者，在上下游市场所占的市场份额均小于</w:t>
            </w:r>
            <w:r w:rsidRPr="007247AA">
              <w:rPr>
                <w:rFonts w:ascii="Times New Roman" w:hAnsi="Times New Roman"/>
                <w:sz w:val="28"/>
                <w:szCs w:val="28"/>
              </w:rPr>
              <w:t>25%</w:t>
            </w:r>
            <w:r w:rsidRPr="007247AA">
              <w:rPr>
                <w:rFonts w:ascii="Times New Roman" w:hAnsi="宋体" w:hint="eastAsia"/>
                <w:sz w:val="28"/>
                <w:szCs w:val="28"/>
              </w:rPr>
              <w:t>。</w:t>
            </w:r>
          </w:p>
        </w:tc>
      </w:tr>
      <w:tr w:rsidR="008107AC" w:rsidRPr="007247AA" w:rsidTr="00C728C3">
        <w:trPr>
          <w:trHeight w:val="285"/>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□3</w:t>
            </w:r>
            <w:r w:rsidRPr="007247AA">
              <w:rPr>
                <w:rFonts w:ascii="Times New Roman" w:hAnsi="宋体" w:hint="eastAsia"/>
                <w:sz w:val="28"/>
                <w:szCs w:val="28"/>
              </w:rPr>
              <w:t>、不在同一相关市场、也不存在上下游关系的参与集中的经营者，在与交易有关的每个市场所占的份额均小于</w:t>
            </w:r>
            <w:r w:rsidRPr="007247AA">
              <w:rPr>
                <w:rFonts w:ascii="Times New Roman" w:hAnsi="Times New Roman"/>
                <w:sz w:val="28"/>
                <w:szCs w:val="28"/>
              </w:rPr>
              <w:t>25%</w:t>
            </w:r>
            <w:r w:rsidRPr="007247AA">
              <w:rPr>
                <w:rFonts w:ascii="Times New Roman" w:hAnsi="宋体" w:hint="eastAsia"/>
                <w:sz w:val="28"/>
                <w:szCs w:val="28"/>
              </w:rPr>
              <w:t>。</w:t>
            </w:r>
          </w:p>
        </w:tc>
      </w:tr>
      <w:tr w:rsidR="008107AC" w:rsidRPr="007247AA" w:rsidTr="00C728C3">
        <w:trPr>
          <w:trHeight w:val="870"/>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□4</w:t>
            </w:r>
            <w:r w:rsidRPr="007247AA">
              <w:rPr>
                <w:rFonts w:ascii="Times New Roman" w:hAnsi="宋体" w:hint="eastAsia"/>
                <w:sz w:val="28"/>
                <w:szCs w:val="28"/>
              </w:rPr>
              <w:t>、参与集中的经营者在中国境外设立合营企业，合营企业不在中国境内从事经济活动。</w:t>
            </w:r>
          </w:p>
        </w:tc>
      </w:tr>
      <w:tr w:rsidR="008107AC" w:rsidRPr="007247AA" w:rsidTr="00C728C3">
        <w:trPr>
          <w:trHeight w:val="264"/>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sz w:val="28"/>
                <w:szCs w:val="28"/>
              </w:rPr>
              <w:t>□5</w:t>
            </w:r>
            <w:r w:rsidRPr="007247AA">
              <w:rPr>
                <w:rFonts w:ascii="Times New Roman" w:hAnsi="宋体" w:hint="eastAsia"/>
                <w:sz w:val="28"/>
                <w:szCs w:val="28"/>
              </w:rPr>
              <w:t>、参与集中的经营者收购境外企业股权或资产的，该境外企业不在中国境内从事经济活动。</w:t>
            </w:r>
          </w:p>
        </w:tc>
      </w:tr>
      <w:tr w:rsidR="008107AC" w:rsidRPr="007247AA" w:rsidTr="00C728C3">
        <w:trPr>
          <w:trHeight w:val="345"/>
        </w:trPr>
        <w:tc>
          <w:tcPr>
            <w:tcW w:w="1809" w:type="dxa"/>
            <w:vMerge/>
            <w:shd w:val="clear" w:color="auto" w:fill="D9D9D9"/>
          </w:tcPr>
          <w:p w:rsidR="008107AC" w:rsidRPr="007247AA" w:rsidRDefault="008107AC" w:rsidP="00C728C3">
            <w:pPr>
              <w:spacing w:line="500" w:lineRule="exact"/>
              <w:rPr>
                <w:rFonts w:ascii="Times New Roman" w:hAnsi="Times New Roman"/>
                <w:sz w:val="28"/>
                <w:szCs w:val="28"/>
              </w:rPr>
            </w:pPr>
          </w:p>
        </w:tc>
        <w:tc>
          <w:tcPr>
            <w:tcW w:w="6949" w:type="dxa"/>
            <w:gridSpan w:val="2"/>
          </w:tcPr>
          <w:p w:rsidR="008107AC" w:rsidRPr="007247AA" w:rsidRDefault="008107AC" w:rsidP="00C728C3">
            <w:pPr>
              <w:spacing w:line="500" w:lineRule="exact"/>
              <w:rPr>
                <w:rFonts w:ascii="Times New Roman" w:hAnsi="Times New Roman"/>
                <w:sz w:val="28"/>
                <w:szCs w:val="28"/>
              </w:rPr>
            </w:pPr>
            <w:r w:rsidRPr="007247AA">
              <w:rPr>
                <w:rFonts w:ascii="Times New Roman" w:hAnsi="Times New Roman"/>
                <w:color w:val="000000"/>
                <w:szCs w:val="20"/>
              </w:rPr>
              <w:sym w:font="Wingdings" w:char="F0FE"/>
            </w:r>
            <w:r w:rsidRPr="007247AA">
              <w:rPr>
                <w:rFonts w:ascii="Times New Roman" w:hAnsi="Times New Roman"/>
                <w:sz w:val="28"/>
                <w:szCs w:val="28"/>
              </w:rPr>
              <w:t>6</w:t>
            </w:r>
            <w:r w:rsidRPr="007247AA">
              <w:rPr>
                <w:rFonts w:ascii="Times New Roman" w:hAnsi="宋体" w:hint="eastAsia"/>
                <w:sz w:val="28"/>
                <w:szCs w:val="28"/>
              </w:rPr>
              <w:t>、由两个以上的经营者共同控制的合营企业，通过集中被其中一个或一个以上经营者控制。</w:t>
            </w:r>
          </w:p>
        </w:tc>
      </w:tr>
      <w:tr w:rsidR="008107AC" w:rsidRPr="007247AA" w:rsidTr="00C728C3">
        <w:tc>
          <w:tcPr>
            <w:tcW w:w="1809" w:type="dxa"/>
            <w:shd w:val="clear" w:color="auto" w:fill="D9D9D9"/>
          </w:tcPr>
          <w:p w:rsidR="008107AC" w:rsidRPr="007247AA" w:rsidRDefault="008107AC" w:rsidP="00C728C3">
            <w:pPr>
              <w:spacing w:line="500" w:lineRule="exact"/>
              <w:rPr>
                <w:rFonts w:ascii="Times New Roman" w:hAnsi="Times New Roman"/>
                <w:sz w:val="28"/>
                <w:szCs w:val="28"/>
              </w:rPr>
            </w:pPr>
            <w:r w:rsidRPr="007247AA">
              <w:rPr>
                <w:rFonts w:ascii="Times New Roman" w:hAnsi="宋体" w:hint="eastAsia"/>
                <w:sz w:val="28"/>
                <w:szCs w:val="28"/>
              </w:rPr>
              <w:t>备注</w:t>
            </w:r>
          </w:p>
        </w:tc>
        <w:tc>
          <w:tcPr>
            <w:tcW w:w="6949" w:type="dxa"/>
            <w:gridSpan w:val="2"/>
          </w:tcPr>
          <w:p w:rsidR="008107AC" w:rsidRPr="007247AA" w:rsidRDefault="008107AC" w:rsidP="00C728C3">
            <w:pPr>
              <w:spacing w:line="500" w:lineRule="exact"/>
              <w:rPr>
                <w:rFonts w:ascii="Times New Roman" w:hAnsi="Times New Roman"/>
                <w:sz w:val="28"/>
                <w:szCs w:val="28"/>
              </w:rPr>
            </w:pPr>
          </w:p>
        </w:tc>
      </w:tr>
    </w:tbl>
    <w:p w:rsidR="008107AC" w:rsidRPr="007247AA" w:rsidRDefault="008107AC">
      <w:pPr>
        <w:rPr>
          <w:rFonts w:ascii="Times New Roman" w:hAnsi="Times New Roman"/>
        </w:rPr>
      </w:pPr>
    </w:p>
    <w:sectPr w:rsidR="008107AC" w:rsidRPr="007247AA" w:rsidSect="004322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AC" w:rsidRDefault="008107AC" w:rsidP="00094095">
      <w:r>
        <w:separator/>
      </w:r>
    </w:p>
  </w:endnote>
  <w:endnote w:type="continuationSeparator" w:id="0">
    <w:p w:rsidR="008107AC" w:rsidRDefault="008107AC" w:rsidP="00094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AC" w:rsidRDefault="008107AC" w:rsidP="00094095">
      <w:r>
        <w:separator/>
      </w:r>
    </w:p>
  </w:footnote>
  <w:footnote w:type="continuationSeparator" w:id="0">
    <w:p w:rsidR="008107AC" w:rsidRDefault="008107AC" w:rsidP="00094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095"/>
    <w:rsid w:val="000078A8"/>
    <w:rsid w:val="00014E0B"/>
    <w:rsid w:val="00055C76"/>
    <w:rsid w:val="00094095"/>
    <w:rsid w:val="000E4976"/>
    <w:rsid w:val="00202C4C"/>
    <w:rsid w:val="00282F1C"/>
    <w:rsid w:val="002A6F08"/>
    <w:rsid w:val="00360617"/>
    <w:rsid w:val="003D6948"/>
    <w:rsid w:val="003F243F"/>
    <w:rsid w:val="00432246"/>
    <w:rsid w:val="00436C2F"/>
    <w:rsid w:val="00462174"/>
    <w:rsid w:val="004C3E59"/>
    <w:rsid w:val="00537287"/>
    <w:rsid w:val="0056013B"/>
    <w:rsid w:val="005F37F9"/>
    <w:rsid w:val="006221DA"/>
    <w:rsid w:val="00664B51"/>
    <w:rsid w:val="007247AA"/>
    <w:rsid w:val="007950BC"/>
    <w:rsid w:val="007A52DA"/>
    <w:rsid w:val="008107AC"/>
    <w:rsid w:val="00832709"/>
    <w:rsid w:val="00832785"/>
    <w:rsid w:val="008E7B8C"/>
    <w:rsid w:val="009B4D54"/>
    <w:rsid w:val="00B84597"/>
    <w:rsid w:val="00BA1596"/>
    <w:rsid w:val="00C728C3"/>
    <w:rsid w:val="00CC51E7"/>
    <w:rsid w:val="00DD4512"/>
    <w:rsid w:val="00EC7E33"/>
    <w:rsid w:val="00F87C1F"/>
    <w:rsid w:val="00FC0832"/>
    <w:rsid w:val="00FC43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6F08"/>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7A52DA"/>
    <w:rPr>
      <w:rFonts w:cs="Times New Roman"/>
      <w:sz w:val="2"/>
    </w:rPr>
  </w:style>
  <w:style w:type="table" w:styleId="TableGrid">
    <w:name w:val="Table Grid"/>
    <w:basedOn w:val="TableNormal"/>
    <w:uiPriority w:val="99"/>
    <w:rsid w:val="000940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94095"/>
    <w:pPr>
      <w:snapToGrid w:val="0"/>
      <w:jc w:val="left"/>
    </w:pPr>
  </w:style>
  <w:style w:type="character" w:customStyle="1" w:styleId="EndnoteTextChar">
    <w:name w:val="Endnote Text Char"/>
    <w:basedOn w:val="DefaultParagraphFont"/>
    <w:link w:val="EndnoteText"/>
    <w:uiPriority w:val="99"/>
    <w:semiHidden/>
    <w:locked/>
    <w:rsid w:val="00094095"/>
    <w:rPr>
      <w:rFonts w:cs="Times New Roman"/>
    </w:rPr>
  </w:style>
  <w:style w:type="character" w:styleId="EndnoteReference">
    <w:name w:val="endnote reference"/>
    <w:basedOn w:val="DefaultParagraphFont"/>
    <w:uiPriority w:val="99"/>
    <w:semiHidden/>
    <w:rsid w:val="000940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919</Words>
  <Characters>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ABAAVOAfoSrQoyxnwTbEnEM/swt5imeBu7Xk83JRWK2U/LOZ+SPF3mIWogH3Toubs/c9</vt:lpwstr>
  </property>
  <property fmtid="{D5CDD505-2E9C-101B-9397-08002B2CF9AE}" pid="3" name="RESPONSE_SENDER_NAME">
    <vt:lpwstr>gAAAdya76B99d4hLGUR1rQ+8TxTv0GGEPdix</vt:lpwstr>
  </property>
  <property fmtid="{D5CDD505-2E9C-101B-9397-08002B2CF9AE}" pid="4" name="EMAIL_OWNER_ADDRESS">
    <vt:lpwstr>sAAAGYoQX4c3X/IWhh5O1uZmBbyiTvu0srl/AdJDz2ATWoI=</vt:lpwstr>
  </property>
</Properties>
</file>