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spacing w:line="440" w:lineRule="exact"/>
        <w:ind w:right="32" w:firstLine="723" w:firstLineChars="200"/>
        <w:jc w:val="center"/>
        <w:rPr>
          <w:rFonts w:hint="eastAsia" w:ascii="黑体" w:hAnsi="黑体" w:eastAsia="黑体" w:cs="仿宋_GB2312"/>
          <w:b/>
          <w:bCs/>
          <w:kern w:val="44"/>
          <w:sz w:val="36"/>
          <w:szCs w:val="36"/>
          <w:highlight w:val="none"/>
          <w:lang w:val="en-US" w:eastAsia="zh-CN" w:bidi="ar-SA"/>
        </w:rPr>
      </w:pPr>
      <w:bookmarkStart w:id="0" w:name="_Toc481447505"/>
      <w:r>
        <w:rPr>
          <w:rFonts w:hint="eastAsia" w:ascii="黑体" w:hAnsi="黑体" w:eastAsia="黑体" w:cs="仿宋_GB2312"/>
          <w:b/>
          <w:bCs/>
          <w:kern w:val="44"/>
          <w:sz w:val="36"/>
          <w:szCs w:val="36"/>
          <w:highlight w:val="none"/>
          <w:lang w:val="en-US" w:eastAsia="zh-CN" w:bidi="ar-SA"/>
        </w:rPr>
        <w:t>采购公告</w:t>
      </w:r>
      <w:bookmarkEnd w:id="0"/>
    </w:p>
    <w:p>
      <w:pPr>
        <w:wordWrap w:val="0"/>
        <w:snapToGrid w:val="0"/>
        <w:spacing w:line="440" w:lineRule="exact"/>
        <w:ind w:right="32" w:firstLine="723" w:firstLineChars="200"/>
        <w:jc w:val="center"/>
        <w:rPr>
          <w:rFonts w:hint="eastAsia" w:ascii="黑体" w:hAnsi="黑体" w:eastAsia="黑体" w:cs="仿宋_GB2312"/>
          <w:b/>
          <w:bCs/>
          <w:kern w:val="44"/>
          <w:sz w:val="36"/>
          <w:szCs w:val="36"/>
          <w:highlight w:val="none"/>
          <w:lang w:val="en-US" w:eastAsia="zh-CN" w:bidi="ar-SA"/>
        </w:rPr>
      </w:pPr>
    </w:p>
    <w:p>
      <w:pPr>
        <w:wordWrap w:val="0"/>
        <w:snapToGrid w:val="0"/>
        <w:spacing w:line="440" w:lineRule="exact"/>
        <w:ind w:right="32" w:firstLine="482" w:firstLineChars="200"/>
        <w:rPr>
          <w:rFonts w:ascii="Arial" w:hAnsi="Arial" w:cs="Arial"/>
          <w:b/>
          <w:sz w:val="24"/>
          <w:highlight w:val="none"/>
        </w:rPr>
      </w:pPr>
      <w:r>
        <w:rPr>
          <w:rFonts w:ascii="Arial" w:hAnsi="Arial" w:cs="Arial"/>
          <w:b/>
          <w:sz w:val="24"/>
          <w:highlight w:val="none"/>
        </w:rPr>
        <w:t>一、</w:t>
      </w:r>
      <w:r>
        <w:rPr>
          <w:rFonts w:hint="eastAsia" w:ascii="Arial" w:hAnsi="Arial" w:cs="Arial"/>
          <w:b/>
          <w:sz w:val="24"/>
          <w:highlight w:val="none"/>
        </w:rPr>
        <w:t>采购标的</w:t>
      </w:r>
    </w:p>
    <w:p>
      <w:pPr>
        <w:spacing w:line="480" w:lineRule="exact"/>
        <w:ind w:firstLine="477" w:firstLineChars="199"/>
        <w:rPr>
          <w:rFonts w:ascii="宋体" w:hAnsi="宋体" w:cs="宋体"/>
          <w:sz w:val="24"/>
          <w:highlight w:val="none"/>
        </w:rPr>
      </w:pPr>
      <w:r>
        <w:rPr>
          <w:rFonts w:hint="eastAsia" w:ascii="宋体" w:hAnsi="宋体" w:cs="宋体"/>
          <w:sz w:val="24"/>
          <w:highlight w:val="none"/>
          <w:lang w:eastAsia="zh-CN"/>
        </w:rPr>
        <w:t>经批准</w:t>
      </w:r>
      <w:r>
        <w:rPr>
          <w:rFonts w:ascii="宋体" w:hAnsi="宋体" w:cs="宋体"/>
          <w:sz w:val="24"/>
          <w:highlight w:val="none"/>
        </w:rPr>
        <w:t>，中国政府同意承担</w:t>
      </w:r>
      <w:r>
        <w:rPr>
          <w:rFonts w:hint="eastAsia" w:ascii="宋体" w:hAnsi="宋体" w:cs="宋体"/>
          <w:sz w:val="24"/>
          <w:highlight w:val="none"/>
        </w:rPr>
        <w:t>援</w:t>
      </w:r>
      <w:r>
        <w:rPr>
          <w:rFonts w:hint="eastAsia" w:ascii="宋体" w:hAnsi="宋体" w:cs="宋体"/>
          <w:sz w:val="24"/>
          <w:highlight w:val="none"/>
          <w:lang w:eastAsia="zh-CN"/>
        </w:rPr>
        <w:t>某国</w:t>
      </w:r>
      <w:r>
        <w:rPr>
          <w:rFonts w:hint="eastAsia" w:ascii="宋体" w:hAnsi="宋体" w:cs="宋体"/>
          <w:sz w:val="24"/>
          <w:highlight w:val="none"/>
        </w:rPr>
        <w:t>外交部办公楼（</w:t>
      </w:r>
      <w:r>
        <w:rPr>
          <w:rFonts w:hint="eastAsia" w:ascii="宋体" w:hAnsi="宋体" w:cs="宋体"/>
          <w:sz w:val="24"/>
          <w:highlight w:val="none"/>
          <w:lang w:eastAsia="zh-CN"/>
        </w:rPr>
        <w:t>某</w:t>
      </w:r>
      <w:r>
        <w:rPr>
          <w:rFonts w:hint="eastAsia" w:ascii="宋体" w:hAnsi="宋体" w:cs="宋体"/>
          <w:sz w:val="24"/>
          <w:highlight w:val="none"/>
        </w:rPr>
        <w:t>和</w:t>
      </w:r>
      <w:r>
        <w:rPr>
          <w:rFonts w:hint="eastAsia" w:ascii="宋体" w:hAnsi="宋体" w:cs="宋体"/>
          <w:sz w:val="24"/>
          <w:highlight w:val="none"/>
          <w:lang w:eastAsia="zh-CN"/>
        </w:rPr>
        <w:t>某</w:t>
      </w:r>
      <w:r>
        <w:rPr>
          <w:rFonts w:hint="eastAsia" w:ascii="宋体" w:hAnsi="宋体" w:cs="宋体"/>
          <w:sz w:val="24"/>
          <w:highlight w:val="none"/>
        </w:rPr>
        <w:t>）技术援助项目（以下简称本项目），</w:t>
      </w:r>
      <w:r>
        <w:rPr>
          <w:rFonts w:hint="eastAsia" w:ascii="宋体" w:hAnsi="宋体" w:cs="宋体"/>
          <w:sz w:val="24"/>
          <w:highlight w:val="none"/>
          <w:lang w:eastAsia="zh-CN"/>
        </w:rPr>
        <w:t>该项目正在办理立项换文</w:t>
      </w:r>
      <w:r>
        <w:rPr>
          <w:rFonts w:hint="eastAsia" w:ascii="宋体" w:hAnsi="宋体" w:cs="宋体"/>
          <w:sz w:val="24"/>
          <w:highlight w:val="none"/>
        </w:rPr>
        <w:t>。商务部国际经济合作事务局作为采购执行人</w:t>
      </w:r>
      <w:r>
        <w:rPr>
          <w:rFonts w:ascii="宋体" w:hAnsi="宋体" w:cs="宋体"/>
          <w:sz w:val="24"/>
          <w:highlight w:val="none"/>
        </w:rPr>
        <w:t>,</w:t>
      </w:r>
      <w:r>
        <w:rPr>
          <w:rFonts w:hint="eastAsia" w:ascii="宋体" w:hAnsi="宋体" w:cs="宋体"/>
          <w:sz w:val="24"/>
          <w:highlight w:val="none"/>
        </w:rPr>
        <w:t>采用公开招标方式选定本项目实施企业，采购其所提供的技术援助服务，并委托北京京城招建设工程咨询有限公司作为本项目实施任务的采购代理机构，负责本项目采购工作具体事宜。</w:t>
      </w:r>
    </w:p>
    <w:p>
      <w:pPr>
        <w:autoSpaceDE w:val="0"/>
        <w:autoSpaceDN w:val="0"/>
        <w:spacing w:line="480" w:lineRule="exact"/>
        <w:ind w:firstLine="482" w:firstLineChars="200"/>
        <w:rPr>
          <w:rFonts w:ascii="宋体" w:hAnsi="宋体" w:cs="宋体"/>
          <w:b/>
          <w:sz w:val="24"/>
          <w:highlight w:val="none"/>
        </w:rPr>
      </w:pPr>
      <w:r>
        <w:rPr>
          <w:rFonts w:hint="eastAsia" w:ascii="宋体" w:hAnsi="宋体" w:cs="宋体"/>
          <w:b/>
          <w:sz w:val="24"/>
          <w:highlight w:val="none"/>
        </w:rPr>
        <w:t>二、项目概况</w:t>
      </w:r>
    </w:p>
    <w:p>
      <w:pPr>
        <w:wordWrap w:val="0"/>
        <w:spacing w:line="440" w:lineRule="exact"/>
        <w:ind w:firstLine="482" w:firstLineChars="200"/>
        <w:rPr>
          <w:rFonts w:ascii="Arial" w:hAnsi="Arial" w:cs="Arial"/>
          <w:sz w:val="24"/>
          <w:highlight w:val="none"/>
        </w:rPr>
      </w:pPr>
      <w:bookmarkStart w:id="1" w:name="_GoBack"/>
      <w:bookmarkEnd w:id="1"/>
      <w:r>
        <w:rPr>
          <w:rFonts w:ascii="Arial" w:hAnsi="Arial" w:cs="Arial"/>
          <w:b/>
          <w:sz w:val="24"/>
          <w:highlight w:val="none"/>
        </w:rPr>
        <w:t>三、投标企业资格条件</w:t>
      </w:r>
    </w:p>
    <w:p>
      <w:pPr>
        <w:wordWrap w:val="0"/>
        <w:spacing w:line="440" w:lineRule="exact"/>
        <w:ind w:firstLine="480" w:firstLineChars="200"/>
        <w:rPr>
          <w:rFonts w:ascii="Arial" w:hAnsi="Arial" w:cs="Arial"/>
          <w:sz w:val="24"/>
          <w:highlight w:val="none"/>
        </w:rPr>
      </w:pPr>
      <w:r>
        <w:rPr>
          <w:rFonts w:ascii="Arial" w:hAnsi="Arial" w:cs="Arial"/>
          <w:sz w:val="24"/>
          <w:highlight w:val="none"/>
        </w:rPr>
        <w:t>（一）</w:t>
      </w:r>
      <w:r>
        <w:rPr>
          <w:rFonts w:hint="eastAsia" w:ascii="Arial" w:hAnsi="Arial" w:cs="Arial"/>
          <w:sz w:val="24"/>
          <w:highlight w:val="none"/>
        </w:rPr>
        <w:t>具备对外技术援助项目实施技术保障专业的企业资格。</w:t>
      </w:r>
      <w:r>
        <w:rPr>
          <w:rFonts w:hint="eastAsia" w:ascii="Arial" w:hAnsi="Arial" w:cs="Arial"/>
          <w:sz w:val="24"/>
          <w:highlight w:val="none"/>
          <w:lang w:val="en-US" w:eastAsia="zh-CN"/>
        </w:rPr>
        <w:t xml:space="preserve"> </w:t>
      </w:r>
    </w:p>
    <w:p>
      <w:pPr>
        <w:wordWrap w:val="0"/>
        <w:spacing w:line="440" w:lineRule="exact"/>
        <w:ind w:firstLine="480" w:firstLineChars="200"/>
        <w:rPr>
          <w:rFonts w:ascii="Arial" w:hAnsi="Arial" w:cs="Arial"/>
          <w:b/>
          <w:sz w:val="24"/>
          <w:highlight w:val="none"/>
        </w:rPr>
      </w:pPr>
      <w:r>
        <w:rPr>
          <w:rFonts w:hint="eastAsia" w:ascii="Arial" w:hAnsi="Arial" w:cs="Arial"/>
          <w:sz w:val="24"/>
          <w:highlight w:val="none"/>
        </w:rPr>
        <w:t>（二）</w:t>
      </w:r>
      <w:r>
        <w:rPr>
          <w:rFonts w:ascii="Arial" w:hAnsi="Arial" w:cs="Arial"/>
          <w:b/>
          <w:sz w:val="24"/>
          <w:highlight w:val="none"/>
        </w:rPr>
        <w:t>符合下列</w:t>
      </w:r>
      <w:r>
        <w:rPr>
          <w:rFonts w:hint="eastAsia" w:ascii="Arial" w:hAnsi="Arial" w:cs="Arial"/>
          <w:b/>
          <w:sz w:val="24"/>
          <w:highlight w:val="none"/>
        </w:rPr>
        <w:t>四</w:t>
      </w:r>
      <w:r>
        <w:rPr>
          <w:rFonts w:ascii="Arial" w:hAnsi="Arial" w:cs="Arial"/>
          <w:b/>
          <w:sz w:val="24"/>
          <w:highlight w:val="none"/>
        </w:rPr>
        <w:t>种情形之一的</w:t>
      </w:r>
      <w:r>
        <w:rPr>
          <w:rFonts w:hint="eastAsia" w:ascii="Arial" w:hAnsi="Arial" w:cs="Arial"/>
          <w:b/>
          <w:sz w:val="24"/>
          <w:highlight w:val="none"/>
        </w:rPr>
        <w:t>，</w:t>
      </w:r>
      <w:r>
        <w:rPr>
          <w:rFonts w:ascii="Arial" w:hAnsi="Arial" w:cs="Arial"/>
          <w:b/>
          <w:sz w:val="24"/>
          <w:highlight w:val="none"/>
        </w:rPr>
        <w:t>采购执行人不接受其参加投标：</w:t>
      </w:r>
    </w:p>
    <w:p>
      <w:pPr>
        <w:wordWrap w:val="0"/>
        <w:spacing w:line="440" w:lineRule="exact"/>
        <w:ind w:firstLine="480" w:firstLineChars="200"/>
        <w:rPr>
          <w:rFonts w:ascii="宋体" w:hAnsi="宋体"/>
          <w:sz w:val="24"/>
          <w:highlight w:val="none"/>
        </w:rPr>
      </w:pPr>
      <w:r>
        <w:rPr>
          <w:rFonts w:ascii="Arial" w:hAnsi="Arial" w:cs="Arial"/>
          <w:sz w:val="24"/>
          <w:highlight w:val="none"/>
        </w:rPr>
        <w:t>1.</w:t>
      </w:r>
      <w:r>
        <w:rPr>
          <w:rFonts w:hint="eastAsia" w:ascii="宋体" w:hAnsi="宋体"/>
          <w:sz w:val="24"/>
          <w:highlight w:val="none"/>
        </w:rPr>
        <w:t>本公告发布之日前三年（2014年</w:t>
      </w:r>
      <w:r>
        <w:rPr>
          <w:rFonts w:hint="eastAsia" w:ascii="宋体" w:hAnsi="宋体"/>
          <w:sz w:val="24"/>
          <w:highlight w:val="none"/>
          <w:lang w:val="en-US" w:eastAsia="zh-CN"/>
        </w:rPr>
        <w:t>11</w:t>
      </w:r>
      <w:r>
        <w:rPr>
          <w:rFonts w:hint="eastAsia" w:ascii="宋体" w:hAnsi="宋体"/>
          <w:sz w:val="24"/>
          <w:highlight w:val="none"/>
        </w:rPr>
        <w:t>月</w:t>
      </w:r>
      <w:r>
        <w:rPr>
          <w:rFonts w:hint="eastAsia" w:ascii="宋体" w:hAnsi="宋体"/>
          <w:sz w:val="24"/>
          <w:highlight w:val="none"/>
          <w:lang w:val="en-US" w:eastAsia="zh-CN"/>
        </w:rPr>
        <w:t>14</w:t>
      </w:r>
      <w:r>
        <w:rPr>
          <w:rFonts w:hint="eastAsia" w:ascii="宋体" w:hAnsi="宋体"/>
          <w:sz w:val="24"/>
          <w:highlight w:val="none"/>
        </w:rPr>
        <w:t>日到2017年</w:t>
      </w:r>
      <w:r>
        <w:rPr>
          <w:rFonts w:hint="eastAsia" w:ascii="宋体" w:hAnsi="宋体"/>
          <w:sz w:val="24"/>
          <w:highlight w:val="none"/>
          <w:lang w:val="en-US" w:eastAsia="zh-CN"/>
        </w:rPr>
        <w:t>11</w:t>
      </w:r>
      <w:r>
        <w:rPr>
          <w:rFonts w:hint="eastAsia" w:ascii="宋体" w:hAnsi="宋体"/>
          <w:sz w:val="24"/>
          <w:highlight w:val="none"/>
        </w:rPr>
        <w:t>月</w:t>
      </w:r>
      <w:r>
        <w:rPr>
          <w:rFonts w:hint="eastAsia" w:ascii="宋体" w:hAnsi="宋体"/>
          <w:sz w:val="24"/>
          <w:highlight w:val="none"/>
          <w:lang w:val="en-US" w:eastAsia="zh-CN"/>
        </w:rPr>
        <w:t>15</w:t>
      </w:r>
      <w:r>
        <w:rPr>
          <w:rFonts w:hint="eastAsia" w:ascii="宋体" w:hAnsi="宋体"/>
          <w:sz w:val="24"/>
          <w:highlight w:val="none"/>
        </w:rPr>
        <w:t>日）受过刑事处罚，</w:t>
      </w:r>
      <w:r>
        <w:rPr>
          <w:rFonts w:hint="eastAsia" w:ascii="宋体" w:hAnsi="宋体"/>
          <w:sz w:val="24"/>
          <w:highlight w:val="none"/>
          <w:lang w:eastAsia="zh-CN"/>
        </w:rPr>
        <w:t>或</w:t>
      </w:r>
      <w:r>
        <w:rPr>
          <w:rFonts w:hint="eastAsia" w:ascii="宋体" w:hAnsi="宋体"/>
          <w:sz w:val="24"/>
          <w:highlight w:val="none"/>
        </w:rPr>
        <w:t>因进行非法经营活动或违反有关援外管理规章受过行政处罚</w:t>
      </w:r>
      <w:r>
        <w:rPr>
          <w:rFonts w:ascii="宋体" w:hAnsi="宋体"/>
          <w:sz w:val="24"/>
          <w:highlight w:val="none"/>
        </w:rPr>
        <w:t>；</w:t>
      </w:r>
    </w:p>
    <w:p>
      <w:pPr>
        <w:wordWrap w:val="0"/>
        <w:spacing w:line="440" w:lineRule="exact"/>
        <w:ind w:firstLine="480" w:firstLineChars="200"/>
        <w:rPr>
          <w:rFonts w:ascii="Arial" w:hAnsi="Arial" w:cs="Arial"/>
          <w:sz w:val="24"/>
          <w:highlight w:val="none"/>
        </w:rPr>
      </w:pPr>
      <w:r>
        <w:rPr>
          <w:rFonts w:ascii="Arial" w:hAnsi="Arial" w:cs="Arial"/>
          <w:sz w:val="24"/>
          <w:highlight w:val="none"/>
        </w:rPr>
        <w:t>2.</w:t>
      </w:r>
      <w:r>
        <w:rPr>
          <w:rFonts w:hint="eastAsia" w:ascii="Arial" w:hAnsi="Arial" w:cs="Arial"/>
          <w:sz w:val="24"/>
          <w:highlight w:val="none"/>
        </w:rPr>
        <w:t>根</w:t>
      </w:r>
      <w:r>
        <w:rPr>
          <w:rFonts w:hint="eastAsia" w:ascii="宋体" w:hAnsi="宋体"/>
          <w:sz w:val="24"/>
          <w:highlight w:val="none"/>
        </w:rPr>
        <w:t>据商务部《推进援外项目实施主体诚信评价体系建设的工作方案（试行）》和《经济合作局关于&lt;推进援外项目实施主体诚信评价体系建设的工作方案（试行）&gt;落实方案（试行）》规定，记录不良行为被暂停或禁止承担援外项目任务的</w:t>
      </w:r>
      <w:r>
        <w:rPr>
          <w:rFonts w:hint="eastAsia" w:ascii="Arial" w:hAnsi="Arial" w:cs="Arial"/>
          <w:sz w:val="24"/>
          <w:highlight w:val="none"/>
        </w:rPr>
        <w:t>；</w:t>
      </w:r>
    </w:p>
    <w:p>
      <w:pPr>
        <w:wordWrap w:val="0"/>
        <w:spacing w:line="440" w:lineRule="exact"/>
        <w:ind w:firstLine="480" w:firstLineChars="200"/>
        <w:rPr>
          <w:rFonts w:ascii="Arial" w:hAnsi="Arial" w:cs="Arial"/>
          <w:sz w:val="24"/>
          <w:highlight w:val="none"/>
        </w:rPr>
      </w:pPr>
      <w:r>
        <w:rPr>
          <w:rFonts w:ascii="Arial" w:hAnsi="Arial" w:cs="Arial"/>
          <w:sz w:val="24"/>
          <w:highlight w:val="none"/>
        </w:rPr>
        <w:t>3.经采购执行人认定，与商务部存在未决的</w:t>
      </w:r>
      <w:r>
        <w:rPr>
          <w:rFonts w:hint="eastAsia" w:ascii="Arial" w:hAnsi="Arial" w:cs="Arial"/>
          <w:sz w:val="24"/>
          <w:highlight w:val="none"/>
        </w:rPr>
        <w:t>援外</w:t>
      </w:r>
      <w:r>
        <w:rPr>
          <w:rFonts w:ascii="Arial" w:hAnsi="Arial" w:cs="Arial"/>
          <w:sz w:val="24"/>
          <w:highlight w:val="none"/>
        </w:rPr>
        <w:t>项目合同违约事项的</w:t>
      </w:r>
      <w:r>
        <w:rPr>
          <w:rFonts w:hint="eastAsia" w:ascii="Arial" w:hAnsi="Arial" w:cs="Arial"/>
          <w:sz w:val="24"/>
          <w:highlight w:val="none"/>
        </w:rPr>
        <w:t>。</w:t>
      </w:r>
    </w:p>
    <w:p>
      <w:pPr>
        <w:wordWrap w:val="0"/>
        <w:spacing w:line="440" w:lineRule="exact"/>
        <w:ind w:firstLine="480" w:firstLineChars="200"/>
        <w:rPr>
          <w:rFonts w:ascii="Arial" w:hAnsi="Arial" w:cs="Arial"/>
          <w:sz w:val="24"/>
          <w:highlight w:val="none"/>
        </w:rPr>
      </w:pPr>
      <w:r>
        <w:rPr>
          <w:rFonts w:ascii="Arial" w:hAnsi="Arial" w:cs="Arial"/>
          <w:sz w:val="24"/>
          <w:highlight w:val="none"/>
        </w:rPr>
        <w:t>符合上述第2、3种情形的，采购执行人将一对一通知相关企业。</w:t>
      </w:r>
    </w:p>
    <w:p>
      <w:pPr>
        <w:numPr>
          <w:ilvl w:val="255"/>
          <w:numId w:val="0"/>
        </w:numPr>
        <w:wordWrap w:val="0"/>
        <w:spacing w:line="440" w:lineRule="exact"/>
        <w:ind w:firstLine="480" w:firstLineChars="200"/>
        <w:rPr>
          <w:rFonts w:ascii="Arial" w:hAnsi="Arial" w:cs="Arial"/>
          <w:sz w:val="24"/>
          <w:highlight w:val="none"/>
        </w:rPr>
      </w:pPr>
      <w:r>
        <w:rPr>
          <w:rFonts w:hint="eastAsia" w:ascii="Arial" w:hAnsi="Arial" w:cs="Arial"/>
          <w:sz w:val="24"/>
          <w:highlight w:val="none"/>
        </w:rPr>
        <w:t>4</w:t>
      </w:r>
      <w:r>
        <w:rPr>
          <w:rFonts w:ascii="Arial" w:hAnsi="Arial" w:cs="Arial"/>
          <w:sz w:val="24"/>
          <w:highlight w:val="none"/>
        </w:rPr>
        <w:t>.根据商务部有关规定，援外项目实施企业发生企业名称、企业类型、法定代表人、注册资本和出资人变更的，</w:t>
      </w:r>
      <w:r>
        <w:rPr>
          <w:rFonts w:hint="eastAsia" w:ascii="Arial" w:hAnsi="Arial" w:cs="Arial"/>
          <w:sz w:val="24"/>
          <w:highlight w:val="none"/>
        </w:rPr>
        <w:t>未</w:t>
      </w:r>
      <w:r>
        <w:rPr>
          <w:rFonts w:ascii="Arial" w:hAnsi="Arial" w:cs="Arial"/>
          <w:sz w:val="24"/>
          <w:highlight w:val="none"/>
        </w:rPr>
        <w:t>在</w:t>
      </w:r>
      <w:r>
        <w:rPr>
          <w:rFonts w:hint="eastAsia" w:ascii="Arial" w:hAnsi="Arial" w:cs="Arial"/>
          <w:sz w:val="24"/>
          <w:highlight w:val="none"/>
        </w:rPr>
        <w:t>投标文件</w:t>
      </w:r>
      <w:r>
        <w:rPr>
          <w:rFonts w:ascii="Arial" w:hAnsi="Arial" w:cs="Arial"/>
          <w:sz w:val="24"/>
          <w:highlight w:val="none"/>
        </w:rPr>
        <w:t>递交</w:t>
      </w:r>
      <w:r>
        <w:rPr>
          <w:rFonts w:hint="eastAsia" w:ascii="Arial" w:hAnsi="Arial" w:cs="Arial"/>
          <w:sz w:val="24"/>
          <w:highlight w:val="none"/>
        </w:rPr>
        <w:t>截止日期之</w:t>
      </w:r>
      <w:r>
        <w:rPr>
          <w:rFonts w:ascii="Arial" w:hAnsi="Arial" w:cs="Arial"/>
          <w:sz w:val="24"/>
          <w:highlight w:val="none"/>
        </w:rPr>
        <w:t>前向商务部备案的</w:t>
      </w:r>
      <w:r>
        <w:rPr>
          <w:rFonts w:hint="eastAsia" w:ascii="Arial" w:hAnsi="Arial" w:cs="Arial"/>
          <w:sz w:val="24"/>
          <w:highlight w:val="none"/>
        </w:rPr>
        <w:t>。</w:t>
      </w:r>
    </w:p>
    <w:p>
      <w:pPr>
        <w:numPr>
          <w:ilvl w:val="255"/>
          <w:numId w:val="0"/>
        </w:numPr>
        <w:wordWrap w:val="0"/>
        <w:spacing w:line="440" w:lineRule="exact"/>
        <w:ind w:firstLine="480" w:firstLineChars="200"/>
        <w:rPr>
          <w:rFonts w:ascii="Arial" w:hAnsi="Arial" w:cs="Arial"/>
          <w:sz w:val="24"/>
          <w:highlight w:val="none"/>
        </w:rPr>
      </w:pPr>
      <w:r>
        <w:rPr>
          <w:rFonts w:hint="eastAsia" w:ascii="Arial" w:hAnsi="Arial" w:cs="Arial"/>
          <w:sz w:val="24"/>
          <w:highlight w:val="none"/>
        </w:rPr>
        <w:t>（三）本次招标不接受</w:t>
      </w:r>
      <w:r>
        <w:rPr>
          <w:rFonts w:ascii="Arial" w:hAnsi="Arial" w:cs="Arial"/>
          <w:sz w:val="24"/>
          <w:highlight w:val="none"/>
        </w:rPr>
        <w:t>联合体</w:t>
      </w:r>
      <w:r>
        <w:rPr>
          <w:rFonts w:hint="eastAsia" w:ascii="Arial" w:hAnsi="Arial" w:cs="Arial"/>
          <w:sz w:val="24"/>
          <w:highlight w:val="none"/>
        </w:rPr>
        <w:t>形式</w:t>
      </w:r>
      <w:r>
        <w:rPr>
          <w:rFonts w:ascii="Arial" w:hAnsi="Arial" w:cs="Arial"/>
          <w:sz w:val="24"/>
          <w:highlight w:val="none"/>
        </w:rPr>
        <w:t>投标。</w:t>
      </w:r>
    </w:p>
    <w:p>
      <w:pPr>
        <w:wordWrap w:val="0"/>
        <w:spacing w:line="440" w:lineRule="exact"/>
        <w:ind w:firstLine="482" w:firstLineChars="200"/>
        <w:rPr>
          <w:rFonts w:ascii="Arial" w:hAnsi="Arial" w:cs="Arial"/>
          <w:b/>
          <w:sz w:val="24"/>
          <w:highlight w:val="none"/>
        </w:rPr>
      </w:pPr>
      <w:r>
        <w:rPr>
          <w:rFonts w:ascii="Arial" w:hAnsi="Arial" w:cs="Arial"/>
          <w:b/>
          <w:sz w:val="24"/>
          <w:highlight w:val="none"/>
        </w:rPr>
        <w:t>四、投标企业资格审查方式</w:t>
      </w:r>
    </w:p>
    <w:p>
      <w:pPr>
        <w:wordWrap w:val="0"/>
        <w:spacing w:line="440" w:lineRule="exact"/>
        <w:ind w:firstLine="480" w:firstLineChars="200"/>
        <w:rPr>
          <w:rFonts w:ascii="Arial" w:hAnsi="Arial" w:cs="Arial"/>
          <w:sz w:val="24"/>
          <w:highlight w:val="none"/>
        </w:rPr>
      </w:pPr>
      <w:r>
        <w:rPr>
          <w:rFonts w:ascii="Arial" w:hAnsi="Arial" w:cs="Arial"/>
          <w:sz w:val="24"/>
          <w:highlight w:val="none"/>
        </w:rPr>
        <w:t>本项目实施任务</w:t>
      </w:r>
      <w:r>
        <w:rPr>
          <w:rFonts w:hint="eastAsia" w:ascii="Arial" w:hAnsi="Arial" w:cs="Arial"/>
          <w:sz w:val="24"/>
          <w:highlight w:val="none"/>
        </w:rPr>
        <w:t>招标</w:t>
      </w:r>
      <w:r>
        <w:rPr>
          <w:rFonts w:ascii="Arial" w:hAnsi="Arial" w:cs="Arial"/>
          <w:sz w:val="24"/>
          <w:highlight w:val="none"/>
        </w:rPr>
        <w:t>采用资格后审方式进行资格审查。</w:t>
      </w:r>
    </w:p>
    <w:p>
      <w:pPr>
        <w:autoSpaceDE w:val="0"/>
        <w:autoSpaceDN w:val="0"/>
        <w:spacing w:line="480" w:lineRule="exact"/>
        <w:ind w:firstLine="482" w:firstLineChars="200"/>
        <w:rPr>
          <w:rFonts w:ascii="宋体" w:hAnsi="宋体" w:cs="宋体"/>
          <w:b/>
          <w:sz w:val="24"/>
          <w:highlight w:val="none"/>
        </w:rPr>
      </w:pPr>
      <w:r>
        <w:rPr>
          <w:rFonts w:hint="eastAsia" w:ascii="宋体" w:hAnsi="宋体" w:cs="宋体"/>
          <w:b/>
          <w:sz w:val="24"/>
          <w:highlight w:val="none"/>
        </w:rPr>
        <w:t>五、招标文件的获取</w:t>
      </w:r>
    </w:p>
    <w:p>
      <w:pPr>
        <w:wordWrap w:val="0"/>
        <w:spacing w:beforeLines="0" w:afterLines="0" w:line="44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凡满足上述资格条件的有意投标企业，请于</w:t>
      </w:r>
      <w:r>
        <w:rPr>
          <w:rFonts w:hint="eastAsia" w:ascii="宋体" w:hAnsi="宋体"/>
          <w:color w:val="auto"/>
          <w:sz w:val="24"/>
          <w:szCs w:val="24"/>
          <w:highlight w:val="none"/>
          <w:lang w:val="en-US" w:eastAsia="zh-CN"/>
        </w:rPr>
        <w:t>2017</w:t>
      </w:r>
      <w:r>
        <w:rPr>
          <w:rFonts w:hint="eastAsia" w:ascii="宋体" w:hAnsi="宋体"/>
          <w:color w:val="auto"/>
          <w:sz w:val="24"/>
          <w:szCs w:val="24"/>
          <w:highlight w:val="none"/>
        </w:rPr>
        <w:t>年</w:t>
      </w:r>
      <w:r>
        <w:rPr>
          <w:rFonts w:hint="eastAsia" w:ascii="宋体" w:hAnsi="宋体"/>
          <w:color w:val="auto"/>
          <w:sz w:val="24"/>
          <w:szCs w:val="24"/>
          <w:highlight w:val="none"/>
          <w:lang w:val="en-US" w:eastAsia="zh-CN"/>
        </w:rPr>
        <w:t>11</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15</w:t>
      </w:r>
      <w:r>
        <w:rPr>
          <w:rFonts w:hint="eastAsia" w:ascii="宋体" w:hAnsi="宋体"/>
          <w:color w:val="auto"/>
          <w:sz w:val="24"/>
          <w:szCs w:val="24"/>
          <w:highlight w:val="none"/>
        </w:rPr>
        <w:t>日</w:t>
      </w:r>
      <w:r>
        <w:rPr>
          <w:rFonts w:hint="eastAsia" w:ascii="宋体" w:hAnsi="宋体"/>
          <w:color w:val="auto"/>
          <w:sz w:val="24"/>
          <w:szCs w:val="24"/>
          <w:highlight w:val="none"/>
          <w:lang w:val="en-US" w:eastAsia="zh-CN"/>
        </w:rPr>
        <w:t>12:00</w:t>
      </w:r>
      <w:r>
        <w:rPr>
          <w:rFonts w:hint="eastAsia" w:ascii="宋体" w:hAnsi="宋体"/>
          <w:color w:val="auto"/>
          <w:sz w:val="24"/>
          <w:szCs w:val="24"/>
          <w:highlight w:val="none"/>
        </w:rPr>
        <w:t>至</w:t>
      </w:r>
      <w:r>
        <w:rPr>
          <w:rFonts w:hint="eastAsia" w:ascii="宋体" w:hAnsi="宋体"/>
          <w:color w:val="auto"/>
          <w:sz w:val="24"/>
          <w:szCs w:val="24"/>
          <w:highlight w:val="none"/>
          <w:lang w:val="en-US" w:eastAsia="zh-CN"/>
        </w:rPr>
        <w:t>2017</w:t>
      </w:r>
      <w:r>
        <w:rPr>
          <w:rFonts w:hint="eastAsia" w:ascii="宋体" w:hAnsi="宋体"/>
          <w:color w:val="auto"/>
          <w:sz w:val="24"/>
          <w:szCs w:val="24"/>
          <w:highlight w:val="none"/>
        </w:rPr>
        <w:t>年</w:t>
      </w:r>
      <w:r>
        <w:rPr>
          <w:rFonts w:hint="eastAsia" w:ascii="宋体" w:hAnsi="宋体"/>
          <w:color w:val="auto"/>
          <w:sz w:val="24"/>
          <w:szCs w:val="24"/>
          <w:highlight w:val="none"/>
          <w:lang w:val="en-US" w:eastAsia="zh-CN"/>
        </w:rPr>
        <w:t>11</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21</w:t>
      </w:r>
      <w:r>
        <w:rPr>
          <w:rFonts w:hint="eastAsia" w:ascii="宋体" w:hAnsi="宋体"/>
          <w:color w:val="auto"/>
          <w:sz w:val="24"/>
          <w:szCs w:val="24"/>
          <w:highlight w:val="none"/>
        </w:rPr>
        <w:t>日</w:t>
      </w:r>
      <w:r>
        <w:rPr>
          <w:rFonts w:hint="eastAsia" w:ascii="宋体" w:hAnsi="宋体"/>
          <w:color w:val="auto"/>
          <w:sz w:val="24"/>
          <w:szCs w:val="24"/>
          <w:highlight w:val="none"/>
          <w:lang w:val="en-US" w:eastAsia="zh-CN"/>
        </w:rPr>
        <w:t>12:00</w:t>
      </w:r>
      <w:r>
        <w:rPr>
          <w:rFonts w:hint="eastAsia" w:ascii="宋体" w:hAnsi="宋体"/>
          <w:color w:val="auto"/>
          <w:sz w:val="24"/>
          <w:szCs w:val="24"/>
          <w:highlight w:val="none"/>
        </w:rPr>
        <w:t>，自行从采购执行人援外项目监管系统（网址：http://supervision.aieco.org:11080）下载采购文件，采购代理不发放纸质采购文件。投标企业如下载出现问题，应主动与采购代理联系。</w:t>
      </w:r>
    </w:p>
    <w:p>
      <w:pPr>
        <w:autoSpaceDE w:val="0"/>
        <w:autoSpaceDN w:val="0"/>
        <w:spacing w:line="480" w:lineRule="exact"/>
        <w:ind w:firstLine="482" w:firstLineChars="200"/>
        <w:rPr>
          <w:rFonts w:ascii="宋体" w:hAnsi="宋体" w:cs="宋体"/>
          <w:b/>
          <w:sz w:val="24"/>
          <w:highlight w:val="none"/>
        </w:rPr>
      </w:pPr>
      <w:r>
        <w:rPr>
          <w:rFonts w:hint="eastAsia" w:ascii="宋体" w:hAnsi="宋体" w:cs="宋体"/>
          <w:b/>
          <w:sz w:val="24"/>
          <w:highlight w:val="none"/>
          <w:lang w:val="zh-CN"/>
        </w:rPr>
        <w:t>六、标前</w:t>
      </w:r>
      <w:r>
        <w:rPr>
          <w:rFonts w:hint="eastAsia" w:ascii="宋体" w:hAnsi="宋体" w:cs="宋体"/>
          <w:b/>
          <w:sz w:val="24"/>
          <w:highlight w:val="none"/>
        </w:rPr>
        <w:t>答疑时间</w:t>
      </w:r>
    </w:p>
    <w:p>
      <w:pPr>
        <w:snapToGrid w:val="0"/>
        <w:spacing w:line="44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本项目接受澄清答疑的截止时间为</w:t>
      </w:r>
      <w:r>
        <w:rPr>
          <w:rFonts w:hint="eastAsia" w:ascii="宋体" w:hAnsi="宋体"/>
          <w:color w:val="auto"/>
          <w:sz w:val="24"/>
          <w:szCs w:val="24"/>
          <w:highlight w:val="none"/>
          <w:lang w:val="en-US" w:eastAsia="zh-CN"/>
        </w:rPr>
        <w:t>2017</w:t>
      </w:r>
      <w:r>
        <w:rPr>
          <w:rFonts w:hint="eastAsia" w:ascii="宋体" w:hAnsi="宋体"/>
          <w:color w:val="auto"/>
          <w:sz w:val="24"/>
          <w:szCs w:val="24"/>
          <w:highlight w:val="none"/>
        </w:rPr>
        <w:t>年</w:t>
      </w:r>
      <w:r>
        <w:rPr>
          <w:rFonts w:hint="eastAsia" w:ascii="宋体" w:hAnsi="宋体"/>
          <w:color w:val="auto"/>
          <w:sz w:val="24"/>
          <w:szCs w:val="24"/>
          <w:highlight w:val="none"/>
          <w:lang w:val="en-US" w:eastAsia="zh-CN"/>
        </w:rPr>
        <w:t>11</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21</w:t>
      </w:r>
      <w:r>
        <w:rPr>
          <w:rFonts w:hint="eastAsia" w:ascii="宋体" w:hAnsi="宋体"/>
          <w:color w:val="auto"/>
          <w:sz w:val="24"/>
          <w:szCs w:val="24"/>
          <w:highlight w:val="none"/>
        </w:rPr>
        <w:t>日</w:t>
      </w:r>
      <w:r>
        <w:rPr>
          <w:rFonts w:hint="eastAsia" w:ascii="宋体" w:hAnsi="宋体"/>
          <w:color w:val="auto"/>
          <w:sz w:val="24"/>
          <w:szCs w:val="24"/>
          <w:highlight w:val="none"/>
          <w:lang w:val="en-US" w:eastAsia="zh-CN"/>
        </w:rPr>
        <w:t>15:00</w:t>
      </w:r>
      <w:r>
        <w:rPr>
          <w:rFonts w:hint="eastAsia" w:ascii="宋体" w:hAnsi="宋体"/>
          <w:color w:val="auto"/>
          <w:sz w:val="24"/>
          <w:szCs w:val="24"/>
          <w:highlight w:val="none"/>
        </w:rPr>
        <w:t>。</w:t>
      </w:r>
    </w:p>
    <w:p>
      <w:pPr>
        <w:snapToGrid w:val="0"/>
        <w:spacing w:line="44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澄清答疑只进行1次，</w:t>
      </w:r>
      <w:r>
        <w:rPr>
          <w:rFonts w:hint="eastAsia" w:ascii="宋体" w:hAnsi="宋体"/>
          <w:b/>
          <w:bCs/>
          <w:color w:val="FF0000"/>
          <w:sz w:val="24"/>
          <w:szCs w:val="24"/>
          <w:highlight w:val="none"/>
        </w:rPr>
        <w:t>晚于澄清答疑截止时间提交的答疑问题，采购代理将不予接受</w:t>
      </w:r>
      <w:r>
        <w:rPr>
          <w:rFonts w:hint="eastAsia" w:ascii="宋体" w:hAnsi="宋体"/>
          <w:color w:val="auto"/>
          <w:sz w:val="24"/>
          <w:szCs w:val="24"/>
          <w:highlight w:val="none"/>
        </w:rPr>
        <w:t>。对于澄清答疑回复内容仍有疑义的，采购代理可视情予以解释。</w:t>
      </w:r>
    </w:p>
    <w:p>
      <w:pPr>
        <w:snapToGrid w:val="0"/>
        <w:spacing w:line="440" w:lineRule="exact"/>
        <w:ind w:firstLine="480" w:firstLineChars="200"/>
        <w:rPr>
          <w:rFonts w:ascii="宋体" w:hAnsi="宋体"/>
          <w:b/>
          <w:color w:val="auto"/>
          <w:sz w:val="24"/>
          <w:szCs w:val="24"/>
          <w:highlight w:val="none"/>
        </w:rPr>
      </w:pPr>
      <w:r>
        <w:rPr>
          <w:rFonts w:hint="eastAsia" w:ascii="宋体" w:hAnsi="宋体"/>
          <w:color w:val="auto"/>
          <w:sz w:val="24"/>
          <w:szCs w:val="24"/>
          <w:highlight w:val="none"/>
        </w:rPr>
        <w:t>澄清答疑回复将于</w:t>
      </w:r>
      <w:r>
        <w:rPr>
          <w:rFonts w:hint="eastAsia" w:ascii="宋体" w:hAnsi="宋体"/>
          <w:color w:val="auto"/>
          <w:sz w:val="24"/>
          <w:szCs w:val="24"/>
          <w:highlight w:val="none"/>
          <w:lang w:val="en-US" w:eastAsia="zh-CN"/>
        </w:rPr>
        <w:t>2017</w:t>
      </w:r>
      <w:r>
        <w:rPr>
          <w:rFonts w:hint="eastAsia" w:ascii="宋体" w:hAnsi="宋体"/>
          <w:color w:val="auto"/>
          <w:sz w:val="24"/>
          <w:szCs w:val="24"/>
          <w:highlight w:val="none"/>
        </w:rPr>
        <w:t>年</w:t>
      </w:r>
      <w:r>
        <w:rPr>
          <w:rFonts w:hint="eastAsia" w:ascii="宋体" w:hAnsi="宋体"/>
          <w:color w:val="auto"/>
          <w:sz w:val="24"/>
          <w:szCs w:val="24"/>
          <w:highlight w:val="none"/>
          <w:lang w:val="en-US" w:eastAsia="zh-CN"/>
        </w:rPr>
        <w:t>11</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24</w:t>
      </w:r>
      <w:r>
        <w:rPr>
          <w:rFonts w:hint="eastAsia" w:ascii="宋体" w:hAnsi="宋体"/>
          <w:color w:val="auto"/>
          <w:sz w:val="24"/>
          <w:szCs w:val="24"/>
          <w:highlight w:val="none"/>
        </w:rPr>
        <w:t>日</w:t>
      </w:r>
      <w:r>
        <w:rPr>
          <w:rFonts w:hint="eastAsia" w:ascii="宋体" w:hAnsi="宋体"/>
          <w:color w:val="auto"/>
          <w:sz w:val="24"/>
          <w:szCs w:val="24"/>
          <w:highlight w:val="none"/>
          <w:lang w:val="en-US" w:eastAsia="zh-CN"/>
        </w:rPr>
        <w:t>24:00</w:t>
      </w:r>
      <w:r>
        <w:rPr>
          <w:rFonts w:hint="eastAsia" w:ascii="宋体" w:hAnsi="宋体"/>
          <w:color w:val="auto"/>
          <w:sz w:val="24"/>
          <w:szCs w:val="24"/>
          <w:highlight w:val="none"/>
        </w:rPr>
        <w:t>前在援外项目监管系统发布。投标企业应自行及时下载，采购代理不进行一对一单独发送。投标企业如下载出现问题，应主动与采购代理联系。</w:t>
      </w:r>
    </w:p>
    <w:p>
      <w:pPr>
        <w:spacing w:line="480" w:lineRule="exact"/>
        <w:ind w:firstLine="482" w:firstLineChars="200"/>
        <w:rPr>
          <w:rFonts w:ascii="宋体" w:hAnsi="宋体" w:cs="宋体"/>
          <w:b/>
          <w:sz w:val="24"/>
          <w:highlight w:val="none"/>
        </w:rPr>
      </w:pPr>
      <w:r>
        <w:rPr>
          <w:rFonts w:hint="eastAsia" w:ascii="宋体" w:hAnsi="宋体" w:cs="宋体"/>
          <w:b/>
          <w:sz w:val="24"/>
          <w:highlight w:val="none"/>
        </w:rPr>
        <w:t>七、投标文件的递交</w:t>
      </w:r>
    </w:p>
    <w:p>
      <w:pPr>
        <w:autoSpaceDE w:val="0"/>
        <w:autoSpaceDN w:val="0"/>
        <w:spacing w:line="480" w:lineRule="exact"/>
        <w:ind w:firstLine="480" w:firstLineChars="200"/>
        <w:rPr>
          <w:rFonts w:ascii="宋体" w:hAnsi="宋体" w:cs="宋体"/>
          <w:sz w:val="24"/>
          <w:highlight w:val="none"/>
        </w:rPr>
      </w:pPr>
      <w:r>
        <w:rPr>
          <w:rFonts w:hint="eastAsia" w:ascii="宋体" w:hAnsi="宋体" w:cs="宋体"/>
          <w:sz w:val="24"/>
          <w:highlight w:val="none"/>
        </w:rPr>
        <w:t>投标文件递交的截止时间为</w:t>
      </w:r>
      <w:r>
        <w:rPr>
          <w:rFonts w:hint="eastAsia" w:ascii="Arial" w:hAnsi="Arial" w:cs="Arial"/>
          <w:sz w:val="24"/>
          <w:highlight w:val="none"/>
        </w:rPr>
        <w:t>2017年</w:t>
      </w:r>
      <w:r>
        <w:rPr>
          <w:rFonts w:hint="eastAsia" w:ascii="Arial" w:hAnsi="Arial" w:cs="Arial"/>
          <w:sz w:val="24"/>
          <w:highlight w:val="none"/>
          <w:lang w:val="en-US" w:eastAsia="zh-CN"/>
        </w:rPr>
        <w:t>12</w:t>
      </w:r>
      <w:r>
        <w:rPr>
          <w:rFonts w:hint="eastAsia" w:ascii="Arial" w:hAnsi="Arial" w:cs="Arial"/>
          <w:sz w:val="24"/>
          <w:highlight w:val="none"/>
        </w:rPr>
        <w:t>月</w:t>
      </w:r>
      <w:r>
        <w:rPr>
          <w:rFonts w:hint="eastAsia" w:ascii="Arial" w:hAnsi="Arial" w:cs="Arial"/>
          <w:sz w:val="24"/>
          <w:highlight w:val="none"/>
          <w:lang w:val="en-US" w:eastAsia="zh-CN"/>
        </w:rPr>
        <w:t>11</w:t>
      </w:r>
      <w:r>
        <w:rPr>
          <w:rFonts w:hint="eastAsia" w:ascii="Arial" w:hAnsi="Arial" w:cs="Arial"/>
          <w:sz w:val="24"/>
          <w:highlight w:val="none"/>
        </w:rPr>
        <w:t>日（星期</w:t>
      </w:r>
      <w:r>
        <w:rPr>
          <w:rFonts w:hint="eastAsia" w:ascii="Arial" w:hAnsi="Arial" w:cs="Arial"/>
          <w:sz w:val="24"/>
          <w:highlight w:val="none"/>
          <w:lang w:eastAsia="zh-CN"/>
        </w:rPr>
        <w:t>一</w:t>
      </w:r>
      <w:r>
        <w:rPr>
          <w:rFonts w:hint="eastAsia" w:ascii="Arial" w:hAnsi="Arial" w:cs="Arial"/>
          <w:sz w:val="24"/>
          <w:highlight w:val="none"/>
        </w:rPr>
        <w:t>）</w:t>
      </w:r>
      <w:r>
        <w:rPr>
          <w:rFonts w:ascii="宋体" w:hAnsi="宋体" w:cs="宋体"/>
          <w:sz w:val="24"/>
          <w:highlight w:val="none"/>
          <w:u w:val="single"/>
        </w:rPr>
        <w:t>9</w:t>
      </w:r>
      <w:r>
        <w:rPr>
          <w:rFonts w:hint="eastAsia" w:ascii="宋体" w:hAnsi="宋体" w:cs="宋体"/>
          <w:sz w:val="24"/>
          <w:highlight w:val="none"/>
          <w:u w:val="single"/>
        </w:rPr>
        <w:t>:00</w:t>
      </w:r>
      <w:r>
        <w:rPr>
          <w:rFonts w:hint="eastAsia" w:ascii="宋体" w:hAnsi="宋体" w:cs="宋体"/>
          <w:sz w:val="24"/>
          <w:highlight w:val="none"/>
        </w:rPr>
        <w:t>时，地点为</w:t>
      </w:r>
      <w:r>
        <w:rPr>
          <w:rFonts w:ascii="Arial" w:hAnsi="Arial" w:cs="Arial"/>
          <w:sz w:val="24"/>
          <w:highlight w:val="none"/>
          <w:u w:val="single"/>
        </w:rPr>
        <w:t>北京市海淀区复兴路17</w:t>
      </w:r>
      <w:r>
        <w:rPr>
          <w:rFonts w:hint="eastAsia" w:ascii="Arial" w:hAnsi="Arial" w:cs="Arial"/>
          <w:sz w:val="24"/>
          <w:highlight w:val="none"/>
          <w:u w:val="single"/>
        </w:rPr>
        <w:t>号</w:t>
      </w:r>
      <w:r>
        <w:rPr>
          <w:rFonts w:ascii="Arial" w:hAnsi="Arial" w:cs="Arial"/>
          <w:sz w:val="24"/>
          <w:highlight w:val="none"/>
          <w:u w:val="single"/>
        </w:rPr>
        <w:t>国海广场C座101</w:t>
      </w:r>
      <w:r>
        <w:rPr>
          <w:rFonts w:hint="eastAsia" w:ascii="Arial" w:hAnsi="Arial" w:cs="Arial"/>
          <w:sz w:val="24"/>
          <w:highlight w:val="none"/>
          <w:u w:val="single"/>
          <w:lang w:val="en-US" w:eastAsia="zh-CN"/>
        </w:rPr>
        <w:t>2</w:t>
      </w:r>
      <w:r>
        <w:rPr>
          <w:rFonts w:ascii="Arial" w:hAnsi="Arial" w:cs="Arial"/>
          <w:sz w:val="24"/>
          <w:highlight w:val="none"/>
          <w:u w:val="single"/>
        </w:rPr>
        <w:t>室</w:t>
      </w:r>
      <w:r>
        <w:rPr>
          <w:rFonts w:hint="eastAsia" w:ascii="宋体" w:hAnsi="宋体" w:cs="宋体"/>
          <w:sz w:val="24"/>
          <w:highlight w:val="none"/>
        </w:rPr>
        <w:t>，逾期送达或未送达指定地点的投标文件，采购代理机构不予受理。</w:t>
      </w:r>
    </w:p>
    <w:p>
      <w:pPr>
        <w:wordWrap w:val="0"/>
        <w:spacing w:line="440" w:lineRule="exact"/>
        <w:ind w:firstLine="480" w:firstLineChars="200"/>
        <w:rPr>
          <w:rFonts w:ascii="Arial" w:hAnsi="Arial" w:cs="Arial"/>
          <w:sz w:val="24"/>
          <w:highlight w:val="none"/>
        </w:rPr>
      </w:pPr>
      <w:r>
        <w:rPr>
          <w:rFonts w:ascii="Arial" w:hAnsi="Arial" w:cs="Arial"/>
          <w:sz w:val="24"/>
          <w:highlight w:val="none"/>
        </w:rPr>
        <w:t>本项目于201</w:t>
      </w:r>
      <w:r>
        <w:rPr>
          <w:rFonts w:hint="eastAsia" w:ascii="Arial" w:hAnsi="Arial" w:cs="Arial"/>
          <w:sz w:val="24"/>
          <w:highlight w:val="none"/>
        </w:rPr>
        <w:t>7</w:t>
      </w:r>
      <w:r>
        <w:rPr>
          <w:rFonts w:ascii="Arial" w:hAnsi="Arial" w:cs="Arial"/>
          <w:sz w:val="24"/>
          <w:highlight w:val="none"/>
        </w:rPr>
        <w:t>年</w:t>
      </w:r>
      <w:r>
        <w:rPr>
          <w:rFonts w:hint="eastAsia" w:ascii="Arial" w:hAnsi="Arial" w:cs="Arial"/>
          <w:sz w:val="24"/>
          <w:highlight w:val="none"/>
          <w:lang w:val="en-US" w:eastAsia="zh-CN"/>
        </w:rPr>
        <w:t>12</w:t>
      </w:r>
      <w:r>
        <w:rPr>
          <w:rFonts w:ascii="Arial" w:hAnsi="Arial" w:cs="Arial"/>
          <w:sz w:val="24"/>
          <w:highlight w:val="none"/>
        </w:rPr>
        <w:t>月</w:t>
      </w:r>
      <w:r>
        <w:rPr>
          <w:rFonts w:hint="eastAsia" w:ascii="Arial" w:hAnsi="Arial" w:cs="Arial"/>
          <w:sz w:val="24"/>
          <w:highlight w:val="none"/>
          <w:lang w:val="en-US" w:eastAsia="zh-CN"/>
        </w:rPr>
        <w:t>11</w:t>
      </w:r>
      <w:r>
        <w:rPr>
          <w:rFonts w:hint="eastAsia" w:ascii="Arial" w:hAnsi="Arial" w:cs="Arial"/>
          <w:sz w:val="24"/>
          <w:highlight w:val="none"/>
        </w:rPr>
        <w:t>日（星期</w:t>
      </w:r>
      <w:r>
        <w:rPr>
          <w:rFonts w:hint="eastAsia" w:ascii="Arial" w:hAnsi="Arial" w:cs="Arial"/>
          <w:sz w:val="24"/>
          <w:highlight w:val="none"/>
          <w:lang w:eastAsia="zh-CN"/>
        </w:rPr>
        <w:t>一</w:t>
      </w:r>
      <w:r>
        <w:rPr>
          <w:rFonts w:hint="eastAsia" w:ascii="Arial" w:hAnsi="Arial" w:cs="Arial"/>
          <w:sz w:val="24"/>
          <w:highlight w:val="none"/>
        </w:rPr>
        <w:t>）</w:t>
      </w:r>
      <w:r>
        <w:rPr>
          <w:rFonts w:ascii="Arial" w:hAnsi="Arial" w:cs="Arial"/>
          <w:bCs/>
          <w:sz w:val="24"/>
          <w:highlight w:val="none"/>
        </w:rPr>
        <w:t>9:0</w:t>
      </w:r>
      <w:r>
        <w:rPr>
          <w:rFonts w:ascii="Arial" w:hAnsi="Arial" w:cs="Arial"/>
          <w:sz w:val="24"/>
          <w:highlight w:val="none"/>
        </w:rPr>
        <w:t>0时在</w:t>
      </w:r>
      <w:r>
        <w:rPr>
          <w:rFonts w:ascii="Arial" w:hAnsi="Arial" w:cs="Arial"/>
          <w:sz w:val="24"/>
          <w:highlight w:val="none"/>
          <w:u w:val="single"/>
        </w:rPr>
        <w:t>北京市海淀区复兴路17国海广场C座101</w:t>
      </w:r>
      <w:r>
        <w:rPr>
          <w:rFonts w:hint="eastAsia" w:ascii="Arial" w:hAnsi="Arial" w:cs="Arial"/>
          <w:sz w:val="24"/>
          <w:highlight w:val="none"/>
          <w:u w:val="single"/>
          <w:lang w:val="en-US" w:eastAsia="zh-CN"/>
        </w:rPr>
        <w:t>2</w:t>
      </w:r>
      <w:r>
        <w:rPr>
          <w:rFonts w:ascii="Arial" w:hAnsi="Arial" w:cs="Arial"/>
          <w:sz w:val="24"/>
          <w:highlight w:val="none"/>
          <w:u w:val="single"/>
        </w:rPr>
        <w:t>室</w:t>
      </w:r>
      <w:r>
        <w:rPr>
          <w:rFonts w:ascii="Arial" w:hAnsi="Arial" w:cs="Arial"/>
          <w:sz w:val="24"/>
          <w:highlight w:val="none"/>
        </w:rPr>
        <w:t>开标。投标企业可派1—2名代表自愿参加，持单位介绍信并经身份验证后进入开标现场。</w:t>
      </w:r>
    </w:p>
    <w:p>
      <w:pPr>
        <w:wordWrap w:val="0"/>
        <w:spacing w:line="440" w:lineRule="exact"/>
        <w:ind w:firstLine="482" w:firstLineChars="200"/>
        <w:rPr>
          <w:rFonts w:ascii="Arial" w:hAnsi="Arial" w:cs="Arial"/>
          <w:b/>
          <w:sz w:val="24"/>
          <w:highlight w:val="none"/>
        </w:rPr>
      </w:pPr>
      <w:r>
        <w:rPr>
          <w:rFonts w:ascii="Arial" w:hAnsi="Arial" w:cs="Arial"/>
          <w:b/>
          <w:sz w:val="24"/>
          <w:highlight w:val="none"/>
        </w:rPr>
        <w:t>八、发布公告的媒介</w:t>
      </w:r>
    </w:p>
    <w:p>
      <w:pPr>
        <w:wordWrap w:val="0"/>
        <w:snapToGrid w:val="0"/>
        <w:spacing w:line="440" w:lineRule="exact"/>
        <w:ind w:right="32" w:firstLine="480" w:firstLineChars="200"/>
        <w:rPr>
          <w:rFonts w:ascii="Arial" w:hAnsi="Arial" w:cs="Arial"/>
          <w:sz w:val="24"/>
          <w:highlight w:val="none"/>
        </w:rPr>
      </w:pPr>
      <w:r>
        <w:rPr>
          <w:rFonts w:ascii="Arial" w:hAnsi="Arial" w:cs="Arial"/>
          <w:sz w:val="24"/>
          <w:highlight w:val="none"/>
        </w:rPr>
        <w:t>本次</w:t>
      </w:r>
      <w:r>
        <w:rPr>
          <w:rFonts w:hint="eastAsia" w:ascii="Arial" w:hAnsi="Arial" w:cs="Arial"/>
          <w:sz w:val="24"/>
          <w:highlight w:val="none"/>
        </w:rPr>
        <w:t>招标</w:t>
      </w:r>
      <w:r>
        <w:rPr>
          <w:rFonts w:ascii="Arial" w:hAnsi="Arial" w:cs="Arial"/>
          <w:sz w:val="24"/>
          <w:highlight w:val="none"/>
        </w:rPr>
        <w:t>公告同时在商务部援外项目采购系统和中国政府采购网两个发布平台上发布。</w:t>
      </w:r>
    </w:p>
    <w:p>
      <w:pPr>
        <w:spacing w:line="480" w:lineRule="exact"/>
        <w:ind w:firstLine="506" w:firstLineChars="210"/>
        <w:rPr>
          <w:rFonts w:ascii="宋体" w:hAnsi="宋体" w:cs="宋体"/>
          <w:b/>
          <w:sz w:val="24"/>
          <w:highlight w:val="none"/>
        </w:rPr>
      </w:pPr>
      <w:r>
        <w:rPr>
          <w:rFonts w:hint="eastAsia" w:ascii="宋体" w:hAnsi="宋体" w:cs="宋体"/>
          <w:b/>
          <w:sz w:val="24"/>
          <w:highlight w:val="none"/>
        </w:rPr>
        <w:t xml:space="preserve">九、联系方式  </w:t>
      </w:r>
    </w:p>
    <w:tbl>
      <w:tblPr>
        <w:tblStyle w:val="4"/>
        <w:tblW w:w="8066" w:type="dxa"/>
        <w:jc w:val="center"/>
        <w:tblInd w:w="0" w:type="dxa"/>
        <w:tblLayout w:type="fixed"/>
        <w:tblCellMar>
          <w:top w:w="0" w:type="dxa"/>
          <w:left w:w="108" w:type="dxa"/>
          <w:bottom w:w="0" w:type="dxa"/>
          <w:right w:w="108" w:type="dxa"/>
        </w:tblCellMar>
      </w:tblPr>
      <w:tblGrid>
        <w:gridCol w:w="4103"/>
        <w:gridCol w:w="3963"/>
      </w:tblGrid>
      <w:tr>
        <w:tblPrEx>
          <w:tblLayout w:type="fixed"/>
          <w:tblCellMar>
            <w:top w:w="0" w:type="dxa"/>
            <w:left w:w="108" w:type="dxa"/>
            <w:bottom w:w="0" w:type="dxa"/>
            <w:right w:w="108" w:type="dxa"/>
          </w:tblCellMar>
        </w:tblPrEx>
        <w:trPr>
          <w:trHeight w:val="354" w:hRule="atLeast"/>
          <w:jc w:val="center"/>
        </w:trPr>
        <w:tc>
          <w:tcPr>
            <w:tcW w:w="4103" w:type="dxa"/>
          </w:tcPr>
          <w:p>
            <w:pPr>
              <w:snapToGrid w:val="0"/>
              <w:spacing w:line="480" w:lineRule="exact"/>
              <w:ind w:right="32"/>
              <w:rPr>
                <w:rFonts w:ascii="宋体" w:hAnsi="宋体"/>
                <w:sz w:val="24"/>
                <w:highlight w:val="none"/>
                <w:u w:val="single"/>
              </w:rPr>
            </w:pPr>
            <w:r>
              <w:rPr>
                <w:rFonts w:hint="eastAsia" w:ascii="宋体" w:hAnsi="宋体"/>
                <w:sz w:val="24"/>
                <w:highlight w:val="none"/>
              </w:rPr>
              <w:t>采购执行人：</w:t>
            </w:r>
            <w:r>
              <w:rPr>
                <w:rFonts w:ascii="宋体" w:hAnsi="宋体"/>
                <w:sz w:val="24"/>
                <w:highlight w:val="none"/>
                <w:u w:val="single"/>
              </w:rPr>
              <w:t xml:space="preserve"> 商务部国际经济合作事务局                              </w:t>
            </w:r>
          </w:p>
        </w:tc>
        <w:tc>
          <w:tcPr>
            <w:tcW w:w="3963" w:type="dxa"/>
          </w:tcPr>
          <w:p>
            <w:pPr>
              <w:snapToGrid w:val="0"/>
              <w:spacing w:line="480" w:lineRule="exact"/>
              <w:ind w:right="32"/>
              <w:rPr>
                <w:rFonts w:ascii="宋体" w:hAnsi="宋体"/>
                <w:sz w:val="24"/>
                <w:highlight w:val="none"/>
                <w:u w:val="single"/>
              </w:rPr>
            </w:pPr>
            <w:r>
              <w:rPr>
                <w:rFonts w:hint="eastAsia" w:asciiTheme="minorEastAsia" w:hAnsiTheme="minorEastAsia" w:eastAsiaTheme="minorEastAsia" w:cstheme="minorEastAsia"/>
                <w:color w:val="auto"/>
                <w:sz w:val="24"/>
                <w:szCs w:val="24"/>
                <w:highlight w:val="none"/>
                <w:u w:val="single"/>
              </w:rPr>
              <w:t xml:space="preserve">采购代理：北京京城招建设工程咨询有限公司 </w:t>
            </w:r>
          </w:p>
        </w:tc>
      </w:tr>
      <w:tr>
        <w:tblPrEx>
          <w:tblLayout w:type="fixed"/>
          <w:tblCellMar>
            <w:top w:w="0" w:type="dxa"/>
            <w:left w:w="108" w:type="dxa"/>
            <w:bottom w:w="0" w:type="dxa"/>
            <w:right w:w="108" w:type="dxa"/>
          </w:tblCellMar>
        </w:tblPrEx>
        <w:trPr>
          <w:trHeight w:val="346" w:hRule="atLeast"/>
          <w:jc w:val="center"/>
        </w:trPr>
        <w:tc>
          <w:tcPr>
            <w:tcW w:w="4103" w:type="dxa"/>
          </w:tcPr>
          <w:p>
            <w:pPr>
              <w:snapToGrid w:val="0"/>
              <w:spacing w:line="480" w:lineRule="exact"/>
              <w:ind w:right="32"/>
              <w:rPr>
                <w:rFonts w:ascii="宋体" w:hAnsi="宋体"/>
                <w:sz w:val="24"/>
                <w:highlight w:val="none"/>
              </w:rPr>
            </w:pPr>
            <w:r>
              <w:rPr>
                <w:rFonts w:hint="eastAsia" w:ascii="宋体" w:hAnsi="宋体"/>
                <w:sz w:val="24"/>
                <w:highlight w:val="none"/>
              </w:rPr>
              <w:t>地址：</w:t>
            </w:r>
            <w:r>
              <w:rPr>
                <w:rFonts w:ascii="宋体" w:hAnsi="宋体"/>
                <w:sz w:val="24"/>
                <w:highlight w:val="none"/>
                <w:u w:val="single"/>
              </w:rPr>
              <w:t xml:space="preserve"> 北京市海淀区复兴路17号国海广场C座1122房间                        </w:t>
            </w:r>
          </w:p>
        </w:tc>
        <w:tc>
          <w:tcPr>
            <w:tcW w:w="3963" w:type="dxa"/>
          </w:tcPr>
          <w:p>
            <w:pPr>
              <w:snapToGrid w:val="0"/>
              <w:spacing w:line="360" w:lineRule="auto"/>
              <w:ind w:right="32"/>
              <w:rPr>
                <w:rFonts w:ascii="宋体" w:hAnsi="宋体"/>
                <w:sz w:val="24"/>
                <w:highlight w:val="none"/>
                <w:u w:val="single"/>
              </w:rPr>
            </w:pPr>
            <w:r>
              <w:rPr>
                <w:rFonts w:hint="eastAsia" w:asciiTheme="minorEastAsia" w:hAnsiTheme="minorEastAsia" w:eastAsiaTheme="minorEastAsia" w:cstheme="minorEastAsia"/>
                <w:color w:val="auto"/>
                <w:sz w:val="24"/>
                <w:szCs w:val="24"/>
                <w:highlight w:val="none"/>
                <w:u w:val="single"/>
              </w:rPr>
              <w:t xml:space="preserve">地址：北京市海淀区成府路28号优盛大厦D座1701室  </w:t>
            </w:r>
          </w:p>
        </w:tc>
      </w:tr>
      <w:tr>
        <w:tblPrEx>
          <w:tblLayout w:type="fixed"/>
          <w:tblCellMar>
            <w:top w:w="0" w:type="dxa"/>
            <w:left w:w="108" w:type="dxa"/>
            <w:bottom w:w="0" w:type="dxa"/>
            <w:right w:w="108" w:type="dxa"/>
          </w:tblCellMar>
        </w:tblPrEx>
        <w:trPr>
          <w:trHeight w:val="502" w:hRule="atLeast"/>
          <w:jc w:val="center"/>
        </w:trPr>
        <w:tc>
          <w:tcPr>
            <w:tcW w:w="4103" w:type="dxa"/>
          </w:tcPr>
          <w:p>
            <w:pPr>
              <w:snapToGrid w:val="0"/>
              <w:spacing w:line="480" w:lineRule="exact"/>
              <w:ind w:right="32"/>
              <w:rPr>
                <w:rFonts w:ascii="宋体" w:hAnsi="宋体"/>
                <w:sz w:val="24"/>
                <w:highlight w:val="none"/>
              </w:rPr>
            </w:pPr>
            <w:r>
              <w:rPr>
                <w:rFonts w:hint="eastAsia" w:ascii="宋体" w:hAnsi="宋体"/>
                <w:sz w:val="24"/>
                <w:highlight w:val="none"/>
              </w:rPr>
              <w:t>邮编</w:t>
            </w:r>
            <w:r>
              <w:rPr>
                <w:rFonts w:ascii="宋体" w:hAnsi="宋体"/>
                <w:sz w:val="24"/>
                <w:highlight w:val="none"/>
              </w:rPr>
              <w:t xml:space="preserve">: </w:t>
            </w:r>
            <w:r>
              <w:rPr>
                <w:rFonts w:ascii="宋体" w:hAnsi="宋体"/>
                <w:sz w:val="24"/>
                <w:highlight w:val="none"/>
                <w:u w:val="single"/>
              </w:rPr>
              <w:t xml:space="preserve">100036 </w:t>
            </w:r>
          </w:p>
        </w:tc>
        <w:tc>
          <w:tcPr>
            <w:tcW w:w="3963" w:type="dxa"/>
          </w:tcPr>
          <w:p>
            <w:pPr>
              <w:snapToGrid w:val="0"/>
              <w:spacing w:line="480" w:lineRule="exact"/>
              <w:ind w:right="32"/>
              <w:rPr>
                <w:rFonts w:ascii="宋体" w:hAnsi="宋体"/>
                <w:sz w:val="24"/>
                <w:highlight w:val="none"/>
                <w:u w:val="single"/>
              </w:rPr>
            </w:pPr>
            <w:r>
              <w:rPr>
                <w:rFonts w:hint="eastAsia" w:asciiTheme="minorEastAsia" w:hAnsiTheme="minorEastAsia" w:eastAsiaTheme="minorEastAsia" w:cstheme="minorEastAsia"/>
                <w:color w:val="auto"/>
                <w:sz w:val="24"/>
                <w:szCs w:val="24"/>
                <w:highlight w:val="none"/>
                <w:u w:val="single"/>
              </w:rPr>
              <w:t xml:space="preserve">邮编：100083 </w:t>
            </w:r>
          </w:p>
        </w:tc>
      </w:tr>
      <w:tr>
        <w:tblPrEx>
          <w:tblLayout w:type="fixed"/>
          <w:tblCellMar>
            <w:top w:w="0" w:type="dxa"/>
            <w:left w:w="108" w:type="dxa"/>
            <w:bottom w:w="0" w:type="dxa"/>
            <w:right w:w="108" w:type="dxa"/>
          </w:tblCellMar>
        </w:tblPrEx>
        <w:trPr>
          <w:trHeight w:val="354" w:hRule="atLeast"/>
          <w:jc w:val="center"/>
        </w:trPr>
        <w:tc>
          <w:tcPr>
            <w:tcW w:w="4103" w:type="dxa"/>
          </w:tcPr>
          <w:p>
            <w:pPr>
              <w:snapToGrid w:val="0"/>
              <w:spacing w:line="480" w:lineRule="exact"/>
              <w:ind w:right="32"/>
              <w:rPr>
                <w:rFonts w:ascii="宋体" w:hAnsi="宋体"/>
                <w:sz w:val="24"/>
                <w:highlight w:val="none"/>
              </w:rPr>
            </w:pPr>
          </w:p>
          <w:p>
            <w:pPr>
              <w:snapToGrid w:val="0"/>
              <w:spacing w:line="480" w:lineRule="exact"/>
              <w:ind w:right="32"/>
              <w:rPr>
                <w:rFonts w:ascii="宋体" w:hAnsi="宋体"/>
                <w:sz w:val="24"/>
                <w:highlight w:val="none"/>
              </w:rPr>
            </w:pPr>
            <w:r>
              <w:rPr>
                <w:rFonts w:hint="eastAsia" w:ascii="宋体" w:hAnsi="宋体"/>
                <w:sz w:val="24"/>
                <w:highlight w:val="none"/>
              </w:rPr>
              <w:t>电话：</w:t>
            </w:r>
            <w:r>
              <w:rPr>
                <w:rFonts w:ascii="宋体" w:hAnsi="宋体"/>
                <w:sz w:val="24"/>
                <w:highlight w:val="none"/>
                <w:u w:val="single"/>
              </w:rPr>
              <w:t>010-68108032</w:t>
            </w:r>
          </w:p>
        </w:tc>
        <w:tc>
          <w:tcPr>
            <w:tcW w:w="3963" w:type="dxa"/>
          </w:tcPr>
          <w:p>
            <w:pPr>
              <w:snapToGrid w:val="0"/>
              <w:spacing w:line="480" w:lineRule="exact"/>
              <w:ind w:right="32"/>
              <w:rPr>
                <w:rFonts w:ascii="宋体" w:hAnsi="宋体"/>
                <w:sz w:val="24"/>
                <w:highlight w:val="none"/>
                <w:u w:val="single"/>
              </w:rPr>
            </w:pPr>
            <w:r>
              <w:rPr>
                <w:rFonts w:hint="eastAsia" w:asciiTheme="minorEastAsia" w:hAnsiTheme="minorEastAsia" w:eastAsiaTheme="minorEastAsia" w:cstheme="minorEastAsia"/>
                <w:color w:val="auto"/>
                <w:sz w:val="24"/>
                <w:szCs w:val="24"/>
                <w:highlight w:val="none"/>
                <w:u w:val="single"/>
              </w:rPr>
              <w:t>联系人：</w:t>
            </w:r>
            <w:r>
              <w:rPr>
                <w:rFonts w:hint="eastAsia" w:asciiTheme="minorEastAsia" w:hAnsiTheme="minorEastAsia" w:eastAsiaTheme="minorEastAsia" w:cstheme="minorEastAsia"/>
                <w:color w:val="auto"/>
                <w:sz w:val="24"/>
                <w:szCs w:val="24"/>
                <w:highlight w:val="none"/>
                <w:u w:val="single"/>
                <w:lang w:eastAsia="zh-CN"/>
              </w:rPr>
              <w:t>孟佳丽</w:t>
            </w:r>
          </w:p>
        </w:tc>
      </w:tr>
      <w:tr>
        <w:tblPrEx>
          <w:tblLayout w:type="fixed"/>
          <w:tblCellMar>
            <w:top w:w="0" w:type="dxa"/>
            <w:left w:w="108" w:type="dxa"/>
            <w:bottom w:w="0" w:type="dxa"/>
            <w:right w:w="108" w:type="dxa"/>
          </w:tblCellMar>
        </w:tblPrEx>
        <w:trPr>
          <w:trHeight w:val="346" w:hRule="atLeast"/>
          <w:jc w:val="center"/>
        </w:trPr>
        <w:tc>
          <w:tcPr>
            <w:tcW w:w="4103" w:type="dxa"/>
          </w:tcPr>
          <w:p>
            <w:pPr>
              <w:snapToGrid w:val="0"/>
              <w:spacing w:line="480" w:lineRule="exact"/>
              <w:ind w:right="32"/>
              <w:rPr>
                <w:rFonts w:ascii="宋体" w:hAnsi="宋体"/>
                <w:sz w:val="24"/>
                <w:highlight w:val="none"/>
                <w:u w:val="single"/>
              </w:rPr>
            </w:pPr>
            <w:r>
              <w:rPr>
                <w:rFonts w:hint="eastAsia" w:ascii="宋体" w:hAnsi="宋体"/>
                <w:sz w:val="24"/>
                <w:highlight w:val="none"/>
              </w:rPr>
              <w:t>传真：</w:t>
            </w:r>
            <w:r>
              <w:rPr>
                <w:rFonts w:ascii="宋体" w:hAnsi="宋体"/>
                <w:sz w:val="24"/>
                <w:highlight w:val="none"/>
                <w:u w:val="single"/>
              </w:rPr>
              <w:t xml:space="preserve">010-68108103                        </w:t>
            </w:r>
          </w:p>
        </w:tc>
        <w:tc>
          <w:tcPr>
            <w:tcW w:w="3963" w:type="dxa"/>
          </w:tcPr>
          <w:p>
            <w:pPr>
              <w:snapToGrid w:val="0"/>
              <w:spacing w:line="480" w:lineRule="exact"/>
              <w:ind w:right="32"/>
              <w:rPr>
                <w:rFonts w:ascii="宋体" w:hAnsi="宋体"/>
                <w:sz w:val="24"/>
                <w:highlight w:val="none"/>
                <w:u w:val="single"/>
              </w:rPr>
            </w:pPr>
            <w:r>
              <w:rPr>
                <w:rFonts w:hint="eastAsia" w:asciiTheme="minorEastAsia" w:hAnsiTheme="minorEastAsia" w:eastAsiaTheme="minorEastAsia" w:cstheme="minorEastAsia"/>
                <w:color w:val="auto"/>
                <w:sz w:val="24"/>
                <w:szCs w:val="24"/>
                <w:highlight w:val="none"/>
                <w:u w:val="single"/>
              </w:rPr>
              <w:t>电话：010-82432652</w:t>
            </w:r>
          </w:p>
        </w:tc>
      </w:tr>
      <w:tr>
        <w:tblPrEx>
          <w:tblLayout w:type="fixed"/>
          <w:tblCellMar>
            <w:top w:w="0" w:type="dxa"/>
            <w:left w:w="108" w:type="dxa"/>
            <w:bottom w:w="0" w:type="dxa"/>
            <w:right w:w="108" w:type="dxa"/>
          </w:tblCellMar>
        </w:tblPrEx>
        <w:trPr>
          <w:trHeight w:val="354" w:hRule="atLeast"/>
          <w:jc w:val="center"/>
        </w:trPr>
        <w:tc>
          <w:tcPr>
            <w:tcW w:w="4103" w:type="dxa"/>
          </w:tcPr>
          <w:p>
            <w:pPr>
              <w:snapToGrid w:val="0"/>
              <w:spacing w:line="480" w:lineRule="exact"/>
              <w:ind w:right="32"/>
              <w:rPr>
                <w:rFonts w:ascii="宋体" w:hAnsi="宋体"/>
                <w:sz w:val="24"/>
                <w:highlight w:val="none"/>
                <w:u w:val="single"/>
              </w:rPr>
            </w:pPr>
            <w:r>
              <w:rPr>
                <w:rFonts w:hint="eastAsia" w:ascii="宋体" w:hAnsi="宋体"/>
                <w:sz w:val="24"/>
                <w:highlight w:val="none"/>
              </w:rPr>
              <w:t>电子邮件：</w:t>
            </w:r>
            <w:r>
              <w:rPr>
                <w:rFonts w:hint="eastAsia" w:ascii="宋体" w:hAnsi="宋体"/>
                <w:sz w:val="24"/>
                <w:highlight w:val="none"/>
                <w:u w:val="single"/>
              </w:rPr>
              <w:t>zb@aieco.org</w:t>
            </w:r>
          </w:p>
        </w:tc>
        <w:tc>
          <w:tcPr>
            <w:tcW w:w="3963" w:type="dxa"/>
          </w:tcPr>
          <w:p>
            <w:pPr>
              <w:snapToGrid w:val="0"/>
              <w:spacing w:beforeLines="0" w:afterLines="0" w:line="440" w:lineRule="exact"/>
              <w:ind w:right="32" w:rightChars="0"/>
              <w:rPr>
                <w:rFonts w:ascii="宋体" w:hAnsi="宋体"/>
                <w:sz w:val="24"/>
                <w:highlight w:val="none"/>
                <w:u w:val="single"/>
              </w:rPr>
            </w:pPr>
            <w:r>
              <w:rPr>
                <w:rFonts w:hint="eastAsia" w:asciiTheme="minorEastAsia" w:hAnsiTheme="minorEastAsia" w:eastAsiaTheme="minorEastAsia" w:cstheme="minorEastAsia"/>
                <w:color w:val="auto"/>
                <w:sz w:val="24"/>
                <w:szCs w:val="24"/>
                <w:highlight w:val="none"/>
                <w:u w:val="single"/>
              </w:rPr>
              <w:t>手机：</w:t>
            </w:r>
            <w:r>
              <w:rPr>
                <w:rFonts w:hint="eastAsia" w:asciiTheme="minorEastAsia" w:hAnsiTheme="minorEastAsia" w:eastAsiaTheme="minorEastAsia" w:cstheme="minorEastAsia"/>
                <w:color w:val="auto"/>
                <w:sz w:val="24"/>
                <w:szCs w:val="24"/>
                <w:highlight w:val="none"/>
                <w:u w:val="single"/>
                <w:lang w:val="en-US" w:eastAsia="zh-CN"/>
              </w:rPr>
              <w:t>15011250718</w:t>
            </w:r>
          </w:p>
        </w:tc>
      </w:tr>
    </w:tbl>
    <w:p>
      <w:pPr>
        <w:spacing w:line="480" w:lineRule="exact"/>
        <w:ind w:firstLine="3720" w:firstLineChars="1550"/>
        <w:rPr>
          <w:rFonts w:ascii="宋体" w:hAnsi="宋体" w:cs="宋体"/>
          <w:color w:val="FF0000"/>
          <w:sz w:val="24"/>
          <w:highlight w:val="none"/>
        </w:rPr>
      </w:pPr>
    </w:p>
    <w:p>
      <w:pPr>
        <w:spacing w:line="480" w:lineRule="exact"/>
        <w:ind w:firstLine="4560" w:firstLineChars="1900"/>
        <w:jc w:val="right"/>
        <w:rPr>
          <w:rFonts w:ascii="宋体" w:hAnsi="宋体" w:cs="宋体"/>
          <w:sz w:val="24"/>
          <w:highlight w:val="none"/>
        </w:rPr>
      </w:pPr>
      <w:r>
        <w:rPr>
          <w:rFonts w:hint="eastAsia" w:ascii="宋体" w:hAnsi="宋体" w:cs="宋体"/>
          <w:sz w:val="24"/>
          <w:highlight w:val="none"/>
        </w:rPr>
        <w:t>2017年</w:t>
      </w:r>
      <w:r>
        <w:rPr>
          <w:rFonts w:hint="eastAsia" w:ascii="宋体" w:hAnsi="宋体" w:cs="宋体"/>
          <w:sz w:val="24"/>
          <w:highlight w:val="none"/>
          <w:lang w:val="en-US" w:eastAsia="zh-CN"/>
        </w:rPr>
        <w:t>11</w:t>
      </w:r>
      <w:r>
        <w:rPr>
          <w:rFonts w:hint="eastAsia" w:ascii="宋体" w:hAnsi="宋体" w:cs="宋体"/>
          <w:sz w:val="24"/>
          <w:highlight w:val="none"/>
        </w:rPr>
        <w:t>月</w:t>
      </w:r>
      <w:r>
        <w:rPr>
          <w:rFonts w:hint="eastAsia" w:ascii="宋体" w:hAnsi="宋体" w:cs="宋体"/>
          <w:sz w:val="24"/>
          <w:highlight w:val="none"/>
          <w:lang w:val="en-US" w:eastAsia="zh-CN"/>
        </w:rPr>
        <w:t>15</w:t>
      </w:r>
      <w:r>
        <w:rPr>
          <w:rFonts w:hint="eastAsia" w:ascii="宋体" w:hAnsi="宋体" w:cs="宋体"/>
          <w:sz w:val="24"/>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姚体">
    <w:panose1 w:val="02010601030101010101"/>
    <w:charset w:val="86"/>
    <w:family w:val="auto"/>
    <w:pitch w:val="default"/>
    <w:sig w:usb0="00000003"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1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KK">
    <w:altName w:val="宋体"/>
    <w:panose1 w:val="00000000000000000000"/>
    <w:charset w:val="86"/>
    <w:family w:val="auto"/>
    <w:pitch w:val="default"/>
    <w:sig w:usb0="00000000" w:usb1="00000000" w:usb2="00000010" w:usb3="00000000" w:csb0="001E000F" w:csb1="00000000"/>
  </w:font>
  <w:font w:name="长城仿宋">
    <w:altName w:val="宋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ˎ̥">
    <w:altName w:val="Segoe Print"/>
    <w:panose1 w:val="00000000000000000000"/>
    <w:charset w:val="00"/>
    <w:family w:val="modern"/>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00"/>
    <w:family w:val="roman"/>
    <w:pitch w:val="default"/>
    <w:sig w:usb0="00000000" w:usb1="00000000" w:usb2="00000000" w:usb3="00000000" w:csb0="00000001" w:csb1="00000000"/>
  </w:font>
  <w:font w:name="hakuyoxingshu7000">
    <w:altName w:val="宋体"/>
    <w:panose1 w:val="02000600000000000000"/>
    <w:charset w:val="86"/>
    <w:family w:val="auto"/>
    <w:pitch w:val="default"/>
    <w:sig w:usb0="00000000" w:usb1="00000000" w:usb2="0000003F" w:usb3="00000000" w:csb0="603F00FF" w:csb1="FFFF0000"/>
  </w:font>
  <w:font w:name="@宋体">
    <w:panose1 w:val="02010600030101010101"/>
    <w:charset w:val="86"/>
    <w:family w:val="auto"/>
    <w:pitch w:val="default"/>
    <w:sig w:usb0="00000003" w:usb1="288F0000" w:usb2="00000006" w:usb3="00000000" w:csb0="00040001"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E159E"/>
    <w:rsid w:val="2BBC1847"/>
    <w:rsid w:val="2BBE41F2"/>
    <w:rsid w:val="646E159E"/>
    <w:rsid w:val="6D3955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Arial Unicode MS"/>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2017-11-15T02:13:00Z</dcterms:created>
  <dc:creator>计算机1</dc:creator>
  <cp:lastModifiedBy>计算机1</cp:lastModifiedBy>
  <dcterms:modified xsi:type="dcterms:W3CDTF">2017-11-15T02:17:01Z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