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ascii="宋体" w:hAnsi="宋体" w:cs="宋体"/>
          <w:b/>
          <w:sz w:val="36"/>
          <w:szCs w:val="36"/>
        </w:rPr>
      </w:pPr>
      <w:r>
        <w:rPr>
          <w:rFonts w:hint="eastAsia" w:ascii="宋体" w:hAnsi="宋体" w:cs="宋体"/>
          <w:b/>
          <w:sz w:val="36"/>
          <w:szCs w:val="36"/>
        </w:rPr>
        <w:t>201</w:t>
      </w:r>
      <w:r>
        <w:rPr>
          <w:rFonts w:hint="eastAsia" w:ascii="宋体" w:hAnsi="宋体" w:cs="宋体"/>
          <w:b/>
          <w:sz w:val="36"/>
          <w:szCs w:val="36"/>
          <w:lang w:val="en-US" w:eastAsia="zh-CN"/>
        </w:rPr>
        <w:t>9</w:t>
      </w:r>
      <w:r>
        <w:rPr>
          <w:rFonts w:hint="eastAsia" w:ascii="宋体" w:hAnsi="宋体" w:cs="宋体"/>
          <w:b/>
          <w:sz w:val="36"/>
          <w:szCs w:val="36"/>
        </w:rPr>
        <w:t>年数据中心运维采购需求和评分细则</w:t>
      </w:r>
    </w:p>
    <w:p>
      <w:pPr>
        <w:spacing w:line="360" w:lineRule="auto"/>
        <w:jc w:val="center"/>
        <w:outlineLvl w:val="1"/>
        <w:rPr>
          <w:rFonts w:ascii="宋体" w:hAnsi="宋体" w:cs="宋体"/>
          <w:b/>
          <w:sz w:val="36"/>
          <w:szCs w:val="36"/>
        </w:rPr>
      </w:pPr>
    </w:p>
    <w:p>
      <w:pPr>
        <w:spacing w:line="360" w:lineRule="auto"/>
        <w:jc w:val="center"/>
        <w:outlineLvl w:val="1"/>
        <w:rPr>
          <w:rFonts w:ascii="宋体" w:hAnsi="宋体" w:cs="宋体"/>
          <w:b/>
          <w:sz w:val="36"/>
          <w:szCs w:val="36"/>
        </w:rPr>
      </w:pPr>
      <w:r>
        <w:rPr>
          <w:rFonts w:hint="eastAsia" w:ascii="宋体" w:hAnsi="宋体" w:cs="宋体"/>
          <w:b/>
          <w:sz w:val="36"/>
          <w:szCs w:val="36"/>
        </w:rPr>
        <w:t>采购需求</w:t>
      </w:r>
    </w:p>
    <w:p>
      <w:pPr>
        <w:spacing w:line="360" w:lineRule="auto"/>
        <w:ind w:firstLine="482" w:firstLineChars="200"/>
        <w:outlineLvl w:val="1"/>
        <w:rPr>
          <w:rFonts w:ascii="宋体" w:hAnsi="宋体" w:cs="宋体"/>
          <w:b/>
          <w:sz w:val="24"/>
        </w:rPr>
      </w:pPr>
    </w:p>
    <w:p>
      <w:pPr>
        <w:spacing w:line="360" w:lineRule="auto"/>
        <w:ind w:firstLine="482" w:firstLineChars="200"/>
        <w:outlineLvl w:val="1"/>
        <w:rPr>
          <w:rFonts w:ascii="宋体" w:hAnsi="宋体" w:cs="宋体"/>
          <w:b/>
          <w:sz w:val="24"/>
        </w:rPr>
      </w:pPr>
      <w:r>
        <w:rPr>
          <w:rFonts w:hint="eastAsia" w:ascii="宋体" w:hAnsi="宋体" w:cs="宋体"/>
          <w:b/>
          <w:sz w:val="24"/>
        </w:rPr>
        <w:t>1、项目服务内容</w:t>
      </w:r>
    </w:p>
    <w:p>
      <w:pPr>
        <w:pStyle w:val="15"/>
        <w:spacing w:line="360" w:lineRule="auto"/>
        <w:ind w:firstLine="480"/>
        <w:rPr>
          <w:rFonts w:ascii="宋体" w:hAnsi="宋体" w:cs="宋体"/>
          <w:sz w:val="24"/>
        </w:rPr>
      </w:pPr>
      <w:bookmarkStart w:id="0" w:name="_Toc305055909"/>
      <w:bookmarkStart w:id="1" w:name="_Toc339021915"/>
      <w:r>
        <w:rPr>
          <w:rFonts w:hint="eastAsia" w:ascii="宋体" w:hAnsi="宋体" w:cs="宋体"/>
          <w:sz w:val="24"/>
        </w:rPr>
        <w:t>中国服务外包数据中心作为推进我国服务外包产业发展的服务平台，依托服务外包业务管理和统计系统，构建以服务外包企业运营数据为核心，培训机构、园区、示范城市的基础数据为辅助，宏观经济数据为参考，各高校、研究机构分析报告为补充的完整、准确、动态更新的数据信息服务平台。</w:t>
      </w:r>
    </w:p>
    <w:p>
      <w:pPr>
        <w:pStyle w:val="15"/>
        <w:spacing w:line="360" w:lineRule="auto"/>
        <w:ind w:firstLine="480"/>
        <w:rPr>
          <w:rFonts w:ascii="宋体" w:hAnsi="宋体" w:cs="宋体"/>
          <w:sz w:val="24"/>
        </w:rPr>
      </w:pPr>
      <w:r>
        <w:rPr>
          <w:rFonts w:hint="eastAsia" w:ascii="宋体" w:hAnsi="宋体" w:cs="宋体"/>
          <w:sz w:val="24"/>
        </w:rPr>
        <w:t>201</w:t>
      </w:r>
      <w:r>
        <w:rPr>
          <w:rFonts w:hint="eastAsia" w:ascii="宋体" w:hAnsi="宋体" w:cs="宋体"/>
          <w:sz w:val="24"/>
          <w:lang w:val="en-US" w:eastAsia="zh-CN"/>
        </w:rPr>
        <w:t>9</w:t>
      </w:r>
      <w:r>
        <w:rPr>
          <w:rFonts w:hint="eastAsia" w:ascii="宋体" w:hAnsi="宋体" w:cs="宋体"/>
          <w:sz w:val="24"/>
        </w:rPr>
        <w:t>年度数据中心运维服务的主要内容包括以下三个方面：</w:t>
      </w:r>
    </w:p>
    <w:bookmarkEnd w:id="0"/>
    <w:bookmarkEnd w:id="1"/>
    <w:p>
      <w:pPr>
        <w:pStyle w:val="13"/>
        <w:ind w:firstLine="480"/>
        <w:rPr>
          <w:rFonts w:ascii="宋体" w:hAnsi="宋体" w:cs="宋体"/>
        </w:rPr>
      </w:pPr>
      <w:r>
        <w:rPr>
          <w:rFonts w:hint="eastAsia" w:ascii="宋体" w:hAnsi="宋体" w:cs="宋体"/>
        </w:rPr>
        <w:t>（1）数据中心系统日常运维服务（上海驻场服务或远程）；</w:t>
      </w:r>
    </w:p>
    <w:p>
      <w:pPr>
        <w:pStyle w:val="13"/>
        <w:ind w:firstLine="480"/>
        <w:rPr>
          <w:rFonts w:ascii="宋体" w:hAnsi="宋体" w:cs="宋体"/>
        </w:rPr>
      </w:pPr>
      <w:r>
        <w:rPr>
          <w:rFonts w:hint="eastAsia" w:ascii="宋体" w:hAnsi="宋体" w:cs="宋体"/>
        </w:rPr>
        <w:t>（2）购买正版服务器端网络安全软件（或延长授权有效期至少一年，不少于16台</w:t>
      </w:r>
      <w:r>
        <w:rPr>
          <w:rFonts w:hint="eastAsia" w:ascii="宋体" w:hAnsi="宋体" w:cs="宋体"/>
          <w:lang w:eastAsia="zh-CN"/>
        </w:rPr>
        <w:t>授权</w:t>
      </w:r>
      <w:r>
        <w:rPr>
          <w:rFonts w:hint="eastAsia" w:ascii="宋体" w:hAnsi="宋体" w:cs="宋体"/>
        </w:rPr>
        <w:t>）；</w:t>
      </w:r>
    </w:p>
    <w:p>
      <w:pPr>
        <w:pStyle w:val="13"/>
        <w:ind w:firstLine="480"/>
        <w:rPr>
          <w:rFonts w:ascii="宋体" w:hAnsi="宋体" w:cs="宋体"/>
        </w:rPr>
      </w:pPr>
      <w:r>
        <w:rPr>
          <w:rFonts w:hint="eastAsia" w:ascii="宋体" w:hAnsi="宋体" w:cs="宋体"/>
        </w:rPr>
        <w:t>（3</w:t>
      </w:r>
      <w:r>
        <w:rPr>
          <w:rFonts w:hint="eastAsia" w:ascii="宋体" w:hAnsi="宋体" w:cs="宋体"/>
          <w:lang w:eastAsia="zh-CN"/>
        </w:rPr>
        <w:t>）完成</w:t>
      </w:r>
      <w:r>
        <w:rPr>
          <w:rFonts w:hint="eastAsia" w:ascii="宋体" w:hAnsi="宋体" w:cs="宋体"/>
        </w:rPr>
        <w:t>数据中心</w:t>
      </w:r>
      <w:r>
        <w:rPr>
          <w:rFonts w:hint="eastAsia" w:ascii="宋体" w:hAnsi="宋体" w:cs="宋体"/>
          <w:lang w:eastAsia="zh-CN"/>
        </w:rPr>
        <w:t>年度</w:t>
      </w:r>
      <w:r>
        <w:rPr>
          <w:rFonts w:hint="eastAsia" w:ascii="宋体" w:hAnsi="宋体" w:cs="宋体"/>
        </w:rPr>
        <w:t>内容建设，优化数据采集软件和数据平台建设。</w:t>
      </w:r>
    </w:p>
    <w:p>
      <w:pPr>
        <w:spacing w:line="360" w:lineRule="auto"/>
        <w:ind w:firstLine="482" w:firstLineChars="200"/>
        <w:outlineLvl w:val="1"/>
        <w:rPr>
          <w:rFonts w:ascii="宋体" w:hAnsi="宋体" w:cs="宋体"/>
          <w:b/>
          <w:sz w:val="24"/>
        </w:rPr>
      </w:pPr>
      <w:bookmarkStart w:id="2" w:name="_Toc305055910"/>
      <w:bookmarkStart w:id="3" w:name="_Toc339021916"/>
      <w:r>
        <w:rPr>
          <w:rFonts w:hint="eastAsia" w:ascii="宋体" w:hAnsi="宋体" w:cs="宋体"/>
          <w:b/>
          <w:sz w:val="24"/>
        </w:rPr>
        <w:t>2、项目服务原则</w:t>
      </w:r>
    </w:p>
    <w:p>
      <w:pPr>
        <w:spacing w:line="360" w:lineRule="auto"/>
        <w:ind w:firstLine="480" w:firstLineChars="200"/>
        <w:outlineLvl w:val="2"/>
        <w:rPr>
          <w:rFonts w:ascii="宋体" w:hAnsi="宋体" w:cs="宋体"/>
          <w:sz w:val="24"/>
        </w:rPr>
      </w:pPr>
      <w:bookmarkStart w:id="4" w:name="_Toc362617088"/>
      <w:bookmarkStart w:id="5" w:name="_Toc365536884"/>
      <w:r>
        <w:rPr>
          <w:rFonts w:hint="eastAsia" w:ascii="宋体" w:hAnsi="宋体" w:cs="宋体"/>
          <w:sz w:val="24"/>
        </w:rPr>
        <w:t>2.1 整体性</w:t>
      </w:r>
      <w:bookmarkEnd w:id="4"/>
      <w:bookmarkEnd w:id="5"/>
    </w:p>
    <w:p>
      <w:pPr>
        <w:pStyle w:val="13"/>
        <w:ind w:firstLine="480"/>
        <w:rPr>
          <w:rFonts w:ascii="宋体" w:hAnsi="宋体" w:cs="宋体"/>
        </w:rPr>
      </w:pPr>
      <w:r>
        <w:rPr>
          <w:rFonts w:hint="eastAsia" w:ascii="宋体" w:hAnsi="宋体" w:cs="宋体"/>
        </w:rPr>
        <w:t>对数据中心各应用模块统筹管理，将软件、硬件与网络系统结合成一个整体进行运维，保障各业务环节中数据的一致性。</w:t>
      </w:r>
    </w:p>
    <w:p>
      <w:pPr>
        <w:spacing w:line="360" w:lineRule="auto"/>
        <w:ind w:firstLine="480" w:firstLineChars="200"/>
        <w:outlineLvl w:val="2"/>
        <w:rPr>
          <w:rFonts w:ascii="宋体" w:hAnsi="宋体" w:cs="宋体"/>
          <w:sz w:val="24"/>
        </w:rPr>
      </w:pPr>
      <w:bookmarkStart w:id="6" w:name="_Toc365536885"/>
      <w:bookmarkStart w:id="7" w:name="_Toc362617089"/>
      <w:r>
        <w:rPr>
          <w:rFonts w:hint="eastAsia" w:ascii="宋体" w:hAnsi="宋体" w:cs="宋体"/>
          <w:sz w:val="24"/>
        </w:rPr>
        <w:t>2.2 可靠性</w:t>
      </w:r>
      <w:bookmarkEnd w:id="6"/>
      <w:bookmarkEnd w:id="7"/>
    </w:p>
    <w:p>
      <w:pPr>
        <w:pStyle w:val="13"/>
        <w:ind w:firstLine="480"/>
        <w:rPr>
          <w:rFonts w:ascii="宋体" w:hAnsi="宋体" w:cs="宋体"/>
        </w:rPr>
      </w:pPr>
      <w:r>
        <w:rPr>
          <w:rFonts w:hint="eastAsia" w:ascii="宋体" w:hAnsi="宋体" w:cs="宋体"/>
        </w:rPr>
        <w:t>新增的服务器端网络安全软件应具有很高的可靠性，在业界广为应。数据中心工作平台优化升级的软件和系统设计要采用高可靠性技术，即使服务器意外死机，也可快速恢复。</w:t>
      </w:r>
    </w:p>
    <w:p>
      <w:pPr>
        <w:spacing w:line="360" w:lineRule="auto"/>
        <w:ind w:firstLine="480" w:firstLineChars="200"/>
        <w:outlineLvl w:val="2"/>
        <w:rPr>
          <w:rFonts w:ascii="宋体" w:hAnsi="宋体" w:cs="宋体"/>
          <w:sz w:val="24"/>
        </w:rPr>
      </w:pPr>
      <w:bookmarkStart w:id="8" w:name="_Toc365536886"/>
      <w:bookmarkStart w:id="9" w:name="_Toc362617090"/>
      <w:r>
        <w:rPr>
          <w:rFonts w:hint="eastAsia" w:ascii="宋体" w:hAnsi="宋体" w:cs="宋体"/>
          <w:sz w:val="24"/>
        </w:rPr>
        <w:t>2.3 安全性</w:t>
      </w:r>
      <w:bookmarkEnd w:id="8"/>
      <w:bookmarkEnd w:id="9"/>
    </w:p>
    <w:p>
      <w:pPr>
        <w:pStyle w:val="13"/>
        <w:ind w:firstLine="480"/>
        <w:rPr>
          <w:rFonts w:ascii="宋体" w:hAnsi="宋体" w:cs="宋体"/>
        </w:rPr>
      </w:pPr>
      <w:r>
        <w:rPr>
          <w:rFonts w:hint="eastAsia" w:ascii="宋体" w:hAnsi="宋体" w:cs="宋体"/>
        </w:rPr>
        <w:t>本系统所储存和保存的实时数据，其数据的安全性、完整性是非常重要的，在继续宁数据采集和清洗时要做好备份工作，同时做好网络信息安全，新增的服务器端网络安全软件能抵御网络黑客、病毒的侵袭。</w:t>
      </w:r>
    </w:p>
    <w:p>
      <w:pPr>
        <w:spacing w:line="360" w:lineRule="auto"/>
        <w:ind w:firstLine="480" w:firstLineChars="200"/>
        <w:outlineLvl w:val="2"/>
        <w:rPr>
          <w:rFonts w:ascii="宋体" w:hAnsi="宋体" w:cs="宋体"/>
          <w:sz w:val="24"/>
        </w:rPr>
      </w:pPr>
      <w:bookmarkStart w:id="10" w:name="_Toc365536887"/>
      <w:bookmarkStart w:id="11" w:name="_Toc362617091"/>
      <w:r>
        <w:rPr>
          <w:rFonts w:hint="eastAsia" w:ascii="宋体" w:hAnsi="宋体" w:cs="宋体"/>
          <w:sz w:val="24"/>
        </w:rPr>
        <w:t>2.4 前瞻性</w:t>
      </w:r>
      <w:bookmarkEnd w:id="10"/>
      <w:bookmarkEnd w:id="11"/>
    </w:p>
    <w:p>
      <w:pPr>
        <w:pStyle w:val="13"/>
        <w:ind w:firstLine="480"/>
        <w:rPr>
          <w:rFonts w:ascii="宋体" w:hAnsi="宋体" w:cs="宋体"/>
        </w:rPr>
      </w:pPr>
      <w:r>
        <w:rPr>
          <w:rFonts w:hint="eastAsia" w:ascii="宋体" w:hAnsi="宋体" w:cs="宋体"/>
        </w:rPr>
        <w:t>借鉴国内外成功经验，根据服务外包产业发展的特点，对现有系统进行完善，并利用最新的工具软件和技术进行运营维护，保证数据中心服务水平不落伍。</w:t>
      </w:r>
    </w:p>
    <w:bookmarkEnd w:id="2"/>
    <w:bookmarkEnd w:id="3"/>
    <w:p>
      <w:pPr>
        <w:spacing w:line="360" w:lineRule="auto"/>
        <w:ind w:firstLine="482" w:firstLineChars="200"/>
        <w:outlineLvl w:val="1"/>
        <w:rPr>
          <w:rFonts w:ascii="宋体" w:hAnsi="宋体" w:cs="宋体"/>
          <w:b/>
          <w:sz w:val="24"/>
        </w:rPr>
      </w:pPr>
      <w:r>
        <w:rPr>
          <w:rFonts w:hint="eastAsia" w:ascii="宋体" w:hAnsi="宋体" w:cs="宋体"/>
          <w:b/>
          <w:sz w:val="24"/>
        </w:rPr>
        <w:t>3、主要建设任务</w:t>
      </w:r>
    </w:p>
    <w:p>
      <w:pPr>
        <w:spacing w:line="360" w:lineRule="auto"/>
        <w:ind w:firstLine="482" w:firstLineChars="200"/>
        <w:outlineLvl w:val="2"/>
        <w:rPr>
          <w:rFonts w:ascii="宋体" w:hAnsi="宋体" w:cs="宋体"/>
          <w:b/>
          <w:sz w:val="24"/>
        </w:rPr>
      </w:pPr>
      <w:r>
        <w:rPr>
          <w:rFonts w:hint="eastAsia" w:ascii="宋体" w:hAnsi="宋体" w:cs="宋体"/>
          <w:b/>
          <w:sz w:val="24"/>
        </w:rPr>
        <w:t>3.1 日常运维服务要求</w:t>
      </w:r>
    </w:p>
    <w:p>
      <w:pPr>
        <w:pStyle w:val="13"/>
        <w:ind w:firstLine="480"/>
        <w:rPr>
          <w:rFonts w:ascii="宋体" w:hAnsi="宋体" w:cs="宋体"/>
        </w:rPr>
      </w:pPr>
      <w:r>
        <w:rPr>
          <w:rFonts w:hint="eastAsia" w:ascii="宋体" w:hAnsi="宋体" w:cs="宋体"/>
        </w:rPr>
        <w:t>3.1.1 服务期限：1年，自签定合同后的1年运维服务期。</w:t>
      </w:r>
    </w:p>
    <w:p>
      <w:pPr>
        <w:pStyle w:val="13"/>
        <w:ind w:firstLine="480"/>
        <w:rPr>
          <w:rFonts w:ascii="宋体" w:hAnsi="宋体" w:cs="宋体"/>
        </w:rPr>
      </w:pPr>
      <w:r>
        <w:rPr>
          <w:rFonts w:hint="eastAsia" w:ascii="宋体" w:hAnsi="宋体" w:cs="宋体"/>
        </w:rPr>
        <w:t>3.1.2 服务要求：参选人应对数据中心项目的设备提供硬件维护及技术服务，通过对中国服务外包数据中心设备定期进行规范化的预防性维护，提高网络设备的可靠性、稳定性及可使用率；对存在问题及突发故障提供及时有效的技术支持、完善的解决方案和事后防范机制，减低故障对生产的影响，使设备和系统保持或迅速恢复其良好的工作状态，消除产生故障的薄弱环节，使中国服务外包数据中心的系统更趋于稳定、安全、合理和高效。</w:t>
      </w:r>
    </w:p>
    <w:p>
      <w:pPr>
        <w:pStyle w:val="13"/>
        <w:ind w:firstLine="480"/>
        <w:rPr>
          <w:rFonts w:ascii="宋体" w:hAnsi="宋体" w:cs="宋体"/>
        </w:rPr>
      </w:pPr>
      <w:r>
        <w:rPr>
          <w:rFonts w:hint="eastAsia" w:ascii="宋体" w:hAnsi="宋体" w:cs="宋体"/>
        </w:rPr>
        <w:t xml:space="preserve">3.1.3 服务内容：本项目要求的服务指保修服务，即对设备维护及其运行的系统环境提供为期一年的服务，包括平时的定期预防性维护、更换出现故障的设备、升级及其他相关技术支持服务等。主要包括： </w:t>
      </w:r>
    </w:p>
    <w:p>
      <w:pPr>
        <w:pStyle w:val="13"/>
        <w:ind w:firstLine="480"/>
        <w:rPr>
          <w:rFonts w:ascii="宋体" w:hAnsi="宋体" w:cs="宋体"/>
        </w:rPr>
      </w:pPr>
      <w:r>
        <w:rPr>
          <w:rFonts w:hint="eastAsia" w:ascii="宋体" w:hAnsi="宋体" w:cs="宋体"/>
        </w:rPr>
        <w:t>（1）参选人必须提供硬件设备维护服务，包括对需要更换的网络设备或配件，在报修后的第二个工作日送到数据中心机房，更换的设备或配件必须为数据中心项目原产品同等质量（或高于原产品质量）的产品。</w:t>
      </w:r>
    </w:p>
    <w:p>
      <w:pPr>
        <w:pStyle w:val="13"/>
        <w:ind w:firstLine="480"/>
        <w:rPr>
          <w:rFonts w:ascii="宋体" w:hAnsi="宋体" w:cs="宋体"/>
        </w:rPr>
      </w:pPr>
      <w:r>
        <w:rPr>
          <w:rFonts w:hint="eastAsia" w:ascii="宋体" w:hAnsi="宋体" w:cs="宋体"/>
        </w:rPr>
        <w:t>（2）参选人必须提供7*24电话技术支持和现场服务，到故障现场进行维护或更换部件，保障数据中心业务骨干网网络设备稳定运行。</w:t>
      </w:r>
    </w:p>
    <w:p>
      <w:pPr>
        <w:pStyle w:val="13"/>
        <w:ind w:firstLine="480"/>
        <w:rPr>
          <w:rFonts w:ascii="宋体" w:hAnsi="宋体" w:cs="宋体"/>
        </w:rPr>
      </w:pPr>
      <w:r>
        <w:rPr>
          <w:rFonts w:hint="eastAsia" w:ascii="宋体" w:hAnsi="宋体" w:cs="宋体"/>
        </w:rPr>
        <w:t>（3）参选人应根据数据中心的实际需求，并指派1名驻场工程师提供现场驻场服务或在上海本地远程实时响应服务，在必要时可以增加人员进行现场驻场服务。</w:t>
      </w:r>
    </w:p>
    <w:p>
      <w:pPr>
        <w:pStyle w:val="13"/>
        <w:ind w:firstLine="480"/>
        <w:rPr>
          <w:rFonts w:ascii="宋体" w:hAnsi="宋体" w:cs="宋体"/>
        </w:rPr>
      </w:pPr>
      <w:r>
        <w:rPr>
          <w:rFonts w:hint="eastAsia" w:ascii="宋体" w:hAnsi="宋体" w:cs="宋体"/>
        </w:rPr>
        <w:t>（4）参选人提供系统故障记录分析(包括软件和硬件)和问题报告，解决系统隐患。</w:t>
      </w:r>
    </w:p>
    <w:p>
      <w:pPr>
        <w:pStyle w:val="13"/>
        <w:ind w:firstLine="480"/>
        <w:rPr>
          <w:rFonts w:ascii="宋体" w:hAnsi="宋体" w:cs="宋体"/>
        </w:rPr>
      </w:pPr>
      <w:r>
        <w:rPr>
          <w:rFonts w:hint="eastAsia" w:ascii="宋体" w:hAnsi="宋体" w:cs="宋体"/>
        </w:rPr>
        <w:t>（5）参选人建立维护服务档案，记录系统配置、双方人员信息、维护记录等。</w:t>
      </w:r>
    </w:p>
    <w:p>
      <w:pPr>
        <w:pStyle w:val="13"/>
        <w:ind w:firstLine="480"/>
        <w:rPr>
          <w:rFonts w:ascii="宋体" w:hAnsi="宋体" w:cs="宋体"/>
        </w:rPr>
      </w:pPr>
      <w:r>
        <w:rPr>
          <w:rFonts w:hint="eastAsia" w:ascii="宋体" w:hAnsi="宋体" w:cs="宋体"/>
        </w:rPr>
        <w:t>（6）参选人对数据中心设备进行定期巡检和预防性维护，主要包括以下内容：</w:t>
      </w:r>
    </w:p>
    <w:p>
      <w:pPr>
        <w:pStyle w:val="13"/>
        <w:ind w:firstLine="480"/>
        <w:rPr>
          <w:rFonts w:ascii="宋体" w:hAnsi="宋体" w:cs="宋体"/>
        </w:rPr>
      </w:pPr>
      <w:r>
        <w:rPr>
          <w:rFonts w:hint="eastAsia" w:ascii="宋体" w:hAnsi="宋体" w:cs="宋体"/>
        </w:rPr>
        <w:t>1）每月一次系统设备健康检查。</w:t>
      </w:r>
    </w:p>
    <w:p>
      <w:pPr>
        <w:pStyle w:val="13"/>
        <w:ind w:firstLine="480"/>
        <w:rPr>
          <w:rFonts w:ascii="宋体" w:hAnsi="宋体" w:cs="宋体"/>
        </w:rPr>
      </w:pPr>
      <w:r>
        <w:rPr>
          <w:rFonts w:hint="eastAsia" w:ascii="宋体" w:hAnsi="宋体" w:cs="宋体"/>
        </w:rPr>
        <w:t>2）提供设备的系统补丁、升级服务。</w:t>
      </w:r>
    </w:p>
    <w:p>
      <w:pPr>
        <w:pStyle w:val="13"/>
        <w:ind w:firstLine="480"/>
        <w:rPr>
          <w:rFonts w:ascii="宋体" w:hAnsi="宋体" w:cs="宋体"/>
        </w:rPr>
      </w:pPr>
      <w:r>
        <w:rPr>
          <w:rFonts w:hint="eastAsia" w:ascii="宋体" w:hAnsi="宋体" w:cs="宋体"/>
        </w:rPr>
        <w:t>3）协助数据中心建立系统备份、保存及恢复方法。</w:t>
      </w:r>
    </w:p>
    <w:p>
      <w:pPr>
        <w:pStyle w:val="13"/>
        <w:ind w:firstLine="480"/>
        <w:rPr>
          <w:rFonts w:ascii="宋体" w:hAnsi="宋体" w:cs="宋体"/>
        </w:rPr>
      </w:pPr>
      <w:r>
        <w:rPr>
          <w:rFonts w:hint="eastAsia" w:ascii="宋体" w:hAnsi="宋体" w:cs="宋体"/>
        </w:rPr>
        <w:t>4）提供数据中心设备运行状态、性能的分析、评估、调整服务，以提高系统的可靠性、可用性和整体性能。</w:t>
      </w:r>
    </w:p>
    <w:p>
      <w:pPr>
        <w:pStyle w:val="13"/>
        <w:ind w:firstLine="480"/>
        <w:rPr>
          <w:rFonts w:ascii="宋体" w:hAnsi="宋体" w:cs="宋体"/>
        </w:rPr>
      </w:pPr>
      <w:r>
        <w:rPr>
          <w:rFonts w:hint="eastAsia" w:ascii="宋体" w:hAnsi="宋体" w:cs="宋体"/>
        </w:rPr>
        <w:t>5）向数据中心提交详细的可用性、安全性、运行状况分析等预防性维护策略、方案和总结报告。</w:t>
      </w:r>
    </w:p>
    <w:p>
      <w:pPr>
        <w:pStyle w:val="13"/>
        <w:ind w:firstLine="480"/>
        <w:rPr>
          <w:rFonts w:ascii="宋体" w:hAnsi="宋体" w:cs="宋体"/>
        </w:rPr>
      </w:pPr>
      <w:r>
        <w:rPr>
          <w:rFonts w:hint="eastAsia" w:ascii="宋体" w:hAnsi="宋体" w:cs="宋体"/>
        </w:rPr>
        <w:t>6）定期提交预防性维护工作报告</w:t>
      </w:r>
    </w:p>
    <w:p>
      <w:pPr>
        <w:pStyle w:val="13"/>
        <w:ind w:firstLine="480"/>
        <w:rPr>
          <w:rFonts w:ascii="宋体" w:hAnsi="宋体" w:cs="宋体"/>
        </w:rPr>
      </w:pPr>
      <w:r>
        <w:rPr>
          <w:rFonts w:hint="eastAsia" w:ascii="宋体" w:hAnsi="宋体" w:cs="宋体"/>
        </w:rPr>
        <w:t>（7）参选人须提供至少两天设备原厂商或软件服务供应商相关培训。</w:t>
      </w:r>
    </w:p>
    <w:p>
      <w:pPr>
        <w:pStyle w:val="13"/>
        <w:ind w:firstLine="480"/>
        <w:rPr>
          <w:rFonts w:ascii="宋体" w:hAnsi="宋体" w:cs="宋体"/>
        </w:rPr>
      </w:pPr>
      <w:r>
        <w:rPr>
          <w:rFonts w:hint="eastAsia" w:ascii="宋体" w:hAnsi="宋体" w:cs="宋体"/>
        </w:rPr>
        <w:t>（8）参选人专责服务代表：参选人指派专责项目经理，全面负责与数据中心相关的维护服务，保证维护服务的连续性；通过规范化的技术文档资料和双方技术人员之间的经常性技术交流，提高数据中心技术人员的日常维护水平和对问题的解决能力。</w:t>
      </w:r>
    </w:p>
    <w:p>
      <w:pPr>
        <w:pStyle w:val="13"/>
        <w:ind w:firstLine="480"/>
        <w:rPr>
          <w:rFonts w:ascii="宋体" w:hAnsi="宋体" w:cs="宋体"/>
        </w:rPr>
      </w:pPr>
      <w:r>
        <w:rPr>
          <w:rFonts w:hint="eastAsia" w:ascii="宋体" w:hAnsi="宋体" w:cs="宋体"/>
        </w:rPr>
        <w:t>此外，参选人可以根据自身情况提出与本项目中提及的设备有关的系统技术支持，作为增值服务。</w:t>
      </w:r>
    </w:p>
    <w:p>
      <w:pPr>
        <w:spacing w:line="360" w:lineRule="auto"/>
        <w:ind w:firstLine="482" w:firstLineChars="200"/>
        <w:outlineLvl w:val="2"/>
        <w:rPr>
          <w:rFonts w:ascii="宋体" w:hAnsi="宋体" w:cs="宋体"/>
          <w:b/>
          <w:sz w:val="24"/>
        </w:rPr>
      </w:pPr>
      <w:r>
        <w:rPr>
          <w:rFonts w:hint="eastAsia" w:ascii="宋体" w:hAnsi="宋体" w:cs="宋体"/>
          <w:b/>
          <w:sz w:val="24"/>
        </w:rPr>
        <w:t>3.2 新增服务器端网络安全软件</w:t>
      </w:r>
    </w:p>
    <w:p>
      <w:pPr>
        <w:spacing w:line="360" w:lineRule="auto"/>
        <w:ind w:firstLine="480" w:firstLineChars="200"/>
        <w:outlineLvl w:val="2"/>
        <w:rPr>
          <w:rFonts w:ascii="宋体" w:hAnsi="宋体" w:cs="宋体"/>
          <w:sz w:val="24"/>
        </w:rPr>
      </w:pPr>
      <w:r>
        <w:rPr>
          <w:rFonts w:hint="eastAsia" w:ascii="宋体" w:hAnsi="宋体" w:cs="宋体"/>
          <w:sz w:val="24"/>
        </w:rPr>
        <w:t>购买或续订不少于16台服务器端的一年期的杀毒软件，并根据服务器实际使用需求增加安全软件。负责数据中心所有服务器的系统补丁升级和数据库安全更新工作，确保系统安全。</w:t>
      </w:r>
    </w:p>
    <w:p>
      <w:pPr>
        <w:pStyle w:val="13"/>
        <w:ind w:firstLine="482"/>
        <w:rPr>
          <w:rFonts w:ascii="宋体" w:hAnsi="宋体" w:cs="宋体"/>
          <w:b/>
        </w:rPr>
      </w:pPr>
      <w:bookmarkStart w:id="12" w:name="_Toc305055916"/>
      <w:bookmarkStart w:id="13" w:name="_Toc339021922"/>
      <w:r>
        <w:rPr>
          <w:rFonts w:hint="eastAsia" w:ascii="宋体" w:hAnsi="宋体" w:cs="宋体"/>
          <w:b/>
        </w:rPr>
        <w:t>3.3 数据中心内容建设和平台优化</w:t>
      </w:r>
    </w:p>
    <w:p>
      <w:pPr>
        <w:pStyle w:val="13"/>
        <w:ind w:firstLine="480"/>
        <w:rPr>
          <w:rFonts w:ascii="宋体" w:hAnsi="宋体" w:cs="宋体"/>
        </w:rPr>
      </w:pPr>
      <w:r>
        <w:rPr>
          <w:rFonts w:hint="eastAsia" w:ascii="宋体" w:hAnsi="宋体" w:cs="宋体"/>
        </w:rPr>
        <w:t>维护更新数据中心内容库、资料库、数据库，充分利用网络爬虫系统功能，按要求定期挖掘并更新数据和数字内容。定期提供数据采集和数据清洗及优化。具体见附件数据中心内容维护详细需求。进一步优化数据中心共享平台，在现有基础上，新增提供外部访问（会员制）和开放服务的功能和模式，整合相关数据，提供友好度更高的访问和查询页面。</w:t>
      </w:r>
    </w:p>
    <w:p>
      <w:pPr>
        <w:pStyle w:val="13"/>
        <w:ind w:firstLine="482"/>
        <w:rPr>
          <w:rFonts w:ascii="宋体" w:hAnsi="宋体" w:cs="宋体"/>
          <w:b/>
        </w:rPr>
      </w:pPr>
      <w:r>
        <w:rPr>
          <w:rFonts w:hint="eastAsia" w:ascii="宋体" w:hAnsi="宋体" w:cs="宋体"/>
          <w:b/>
        </w:rPr>
        <w:t>4、方案比选内容及要求</w:t>
      </w:r>
    </w:p>
    <w:bookmarkEnd w:id="12"/>
    <w:bookmarkEnd w:id="13"/>
    <w:p>
      <w:pPr>
        <w:spacing w:line="360" w:lineRule="auto"/>
        <w:ind w:firstLine="480" w:firstLineChars="200"/>
        <w:outlineLvl w:val="2"/>
        <w:rPr>
          <w:rFonts w:ascii="宋体" w:hAnsi="宋体" w:cs="宋体"/>
          <w:sz w:val="24"/>
        </w:rPr>
      </w:pPr>
      <w:r>
        <w:rPr>
          <w:rFonts w:hint="eastAsia" w:ascii="宋体" w:hAnsi="宋体" w:cs="宋体"/>
          <w:sz w:val="24"/>
        </w:rPr>
        <w:t>4.1 服务项目名称：201</w:t>
      </w:r>
      <w:r>
        <w:rPr>
          <w:rFonts w:hint="eastAsia" w:ascii="宋体" w:hAnsi="宋体" w:cs="宋体"/>
          <w:sz w:val="24"/>
          <w:lang w:val="en-US" w:eastAsia="zh-CN"/>
        </w:rPr>
        <w:t>9</w:t>
      </w:r>
      <w:r>
        <w:rPr>
          <w:rFonts w:hint="eastAsia" w:ascii="宋体" w:hAnsi="宋体" w:cs="宋体"/>
          <w:sz w:val="24"/>
        </w:rPr>
        <w:t>年</w:t>
      </w:r>
      <w:r>
        <w:rPr>
          <w:rFonts w:hint="eastAsia" w:ascii="宋体" w:hAnsi="宋体" w:cs="宋体"/>
          <w:sz w:val="24"/>
          <w:szCs w:val="24"/>
        </w:rPr>
        <w:t>中国服务外包数据中心运维服务项目</w:t>
      </w:r>
    </w:p>
    <w:p>
      <w:pPr>
        <w:spacing w:line="360" w:lineRule="auto"/>
        <w:ind w:firstLine="480" w:firstLineChars="200"/>
        <w:outlineLvl w:val="2"/>
        <w:rPr>
          <w:rFonts w:ascii="宋体" w:hAnsi="宋体" w:cs="宋体"/>
          <w:sz w:val="24"/>
        </w:rPr>
      </w:pPr>
      <w:r>
        <w:rPr>
          <w:rFonts w:hint="eastAsia" w:ascii="宋体" w:hAnsi="宋体" w:cs="宋体"/>
          <w:sz w:val="24"/>
        </w:rPr>
        <w:t>4.2 编制要求</w:t>
      </w:r>
    </w:p>
    <w:p>
      <w:pPr>
        <w:spacing w:line="360" w:lineRule="auto"/>
        <w:ind w:firstLine="480" w:firstLineChars="200"/>
        <w:outlineLvl w:val="2"/>
        <w:rPr>
          <w:rFonts w:ascii="宋体" w:hAnsi="宋体" w:cs="宋体"/>
          <w:sz w:val="24"/>
        </w:rPr>
      </w:pPr>
      <w:r>
        <w:rPr>
          <w:rFonts w:hint="eastAsia" w:ascii="宋体" w:hAnsi="宋体" w:cs="宋体"/>
          <w:sz w:val="24"/>
        </w:rPr>
        <w:t>4.2.1编写项目方案</w:t>
      </w:r>
    </w:p>
    <w:p>
      <w:pPr>
        <w:pStyle w:val="13"/>
        <w:ind w:firstLine="480"/>
        <w:rPr>
          <w:rFonts w:ascii="宋体" w:hAnsi="宋体" w:cs="宋体"/>
        </w:rPr>
      </w:pPr>
      <w:r>
        <w:rPr>
          <w:rFonts w:hint="eastAsia" w:ascii="宋体" w:hAnsi="宋体" w:cs="宋体"/>
        </w:rPr>
        <w:t>项目方案中应提供满足上述需求的软件需求分析、概要设计，详细流程设计、相关技术手段和解决方案、软硬件配置和性能介绍。</w:t>
      </w:r>
    </w:p>
    <w:p>
      <w:pPr>
        <w:spacing w:line="360" w:lineRule="auto"/>
        <w:ind w:firstLine="480" w:firstLineChars="200"/>
        <w:outlineLvl w:val="2"/>
        <w:rPr>
          <w:rFonts w:ascii="宋体" w:hAnsi="宋体" w:cs="宋体"/>
          <w:sz w:val="24"/>
        </w:rPr>
      </w:pPr>
      <w:r>
        <w:rPr>
          <w:rFonts w:hint="eastAsia" w:ascii="宋体" w:hAnsi="宋体" w:cs="宋体"/>
          <w:sz w:val="24"/>
        </w:rPr>
        <w:t>4.2.2设计方案和开发要满足的技术要求</w:t>
      </w:r>
    </w:p>
    <w:p>
      <w:pPr>
        <w:pStyle w:val="13"/>
        <w:ind w:firstLine="480"/>
        <w:rPr>
          <w:rFonts w:ascii="宋体" w:hAnsi="宋体" w:cs="宋体"/>
        </w:rPr>
      </w:pPr>
      <w:r>
        <w:rPr>
          <w:rFonts w:hint="eastAsia" w:ascii="宋体" w:hAnsi="宋体" w:cs="宋体"/>
        </w:rPr>
        <w:t>（1）每日设备和系统维护（含网络、机房软硬件、数据库、操作系统等），提交每周运维报告；快速响应并解决各类IT系统软硬件故障和问题。（IDC机房服务器等硬件设备宕机频率低于1%；数据中心软件系统访问出错率低于1%；数据中心系统数据备份方式/频率：每日增量备份、每周全部备份、定期离线备份。）</w:t>
      </w:r>
    </w:p>
    <w:p>
      <w:pPr>
        <w:pStyle w:val="13"/>
        <w:ind w:firstLine="480"/>
        <w:rPr>
          <w:rFonts w:ascii="宋体" w:hAnsi="宋体" w:cs="宋体"/>
        </w:rPr>
      </w:pPr>
      <w:r>
        <w:rPr>
          <w:rFonts w:hint="eastAsia" w:ascii="宋体" w:hAnsi="宋体" w:cs="宋体"/>
        </w:rPr>
        <w:t>（2）优化安全策略，每月提供安全监测报告，实时更新病毒库。</w:t>
      </w:r>
    </w:p>
    <w:p>
      <w:pPr>
        <w:pStyle w:val="13"/>
        <w:ind w:firstLine="480"/>
        <w:rPr>
          <w:rFonts w:ascii="宋体" w:hAnsi="宋体" w:cs="宋体"/>
        </w:rPr>
      </w:pPr>
      <w:r>
        <w:rPr>
          <w:rFonts w:hint="eastAsia" w:ascii="宋体" w:hAnsi="宋体" w:cs="宋体"/>
        </w:rPr>
        <w:t>（3）续订正版服务器端杀毒软件一年，不少于16台Linux系统服务器。</w:t>
      </w:r>
    </w:p>
    <w:p>
      <w:pPr>
        <w:pStyle w:val="13"/>
        <w:ind w:firstLine="480"/>
        <w:rPr>
          <w:rFonts w:ascii="宋体" w:hAnsi="宋体" w:cs="宋体"/>
        </w:rPr>
      </w:pPr>
      <w:r>
        <w:rPr>
          <w:rFonts w:hint="eastAsia" w:ascii="宋体" w:hAnsi="宋体" w:cs="宋体"/>
        </w:rPr>
        <w:t>（4）新建一个综合信息查询系统，打通内部数据，内对内外提供信息查询服务；</w:t>
      </w:r>
    </w:p>
    <w:p>
      <w:pPr>
        <w:pStyle w:val="13"/>
        <w:ind w:firstLine="480"/>
        <w:rPr>
          <w:rFonts w:ascii="宋体" w:hAnsi="宋体" w:cs="宋体"/>
        </w:rPr>
      </w:pPr>
      <w:r>
        <w:rPr>
          <w:rFonts w:hint="eastAsia" w:ascii="宋体" w:hAnsi="宋体" w:cs="宋体"/>
        </w:rPr>
        <w:t>（5）优化现有工作平台的功能模块</w:t>
      </w:r>
    </w:p>
    <w:p>
      <w:pPr>
        <w:pStyle w:val="13"/>
        <w:ind w:firstLine="480"/>
        <w:rPr>
          <w:rFonts w:ascii="宋体" w:hAnsi="宋体" w:cs="宋体"/>
        </w:rPr>
      </w:pPr>
      <w:r>
        <w:rPr>
          <w:rFonts w:hint="eastAsia" w:ascii="宋体" w:hAnsi="宋体" w:cs="宋体"/>
        </w:rPr>
        <w:t>（6）爬虫系统升级工作。改善数据采集模块，定期自动更新采集信息。</w:t>
      </w:r>
    </w:p>
    <w:p>
      <w:pPr>
        <w:pStyle w:val="13"/>
        <w:ind w:firstLine="480"/>
        <w:rPr>
          <w:rFonts w:ascii="宋体" w:hAnsi="宋体" w:cs="宋体"/>
        </w:rPr>
      </w:pPr>
      <w:r>
        <w:rPr>
          <w:rFonts w:hint="eastAsia" w:ascii="宋体" w:hAnsi="宋体" w:cs="宋体"/>
        </w:rPr>
        <w:t>（7）每周内部和外部数据采集、清洗、入库工作。</w:t>
      </w:r>
    </w:p>
    <w:p>
      <w:pPr>
        <w:spacing w:line="360" w:lineRule="auto"/>
        <w:ind w:firstLine="480" w:firstLineChars="200"/>
        <w:outlineLvl w:val="2"/>
        <w:rPr>
          <w:rFonts w:ascii="宋体" w:hAnsi="宋体" w:cs="宋体"/>
          <w:sz w:val="24"/>
        </w:rPr>
      </w:pPr>
      <w:r>
        <w:rPr>
          <w:rFonts w:hint="eastAsia" w:ascii="宋体" w:hAnsi="宋体" w:cs="宋体"/>
          <w:sz w:val="24"/>
        </w:rPr>
        <w:t>4.2.3响应软件系统版权要求</w:t>
      </w:r>
    </w:p>
    <w:p>
      <w:pPr>
        <w:pStyle w:val="13"/>
        <w:ind w:firstLine="480"/>
        <w:rPr>
          <w:rFonts w:ascii="宋体" w:hAnsi="宋体" w:cs="宋体"/>
        </w:rPr>
      </w:pPr>
      <w:r>
        <w:rPr>
          <w:rFonts w:hint="eastAsia" w:ascii="宋体" w:hAnsi="宋体" w:cs="宋体"/>
        </w:rPr>
        <w:t>中国服务外包数据中心应用软件版权归参选人所有,参选人保留按实际需求更改软件的权利，参选人必须承诺响应用户的要求。</w:t>
      </w:r>
    </w:p>
    <w:p>
      <w:pPr>
        <w:spacing w:line="360" w:lineRule="auto"/>
        <w:ind w:firstLine="480" w:firstLineChars="200"/>
        <w:outlineLvl w:val="2"/>
        <w:rPr>
          <w:rFonts w:ascii="宋体" w:hAnsi="宋体" w:cs="宋体"/>
          <w:sz w:val="24"/>
        </w:rPr>
      </w:pPr>
      <w:r>
        <w:rPr>
          <w:rFonts w:hint="eastAsia" w:ascii="宋体" w:hAnsi="宋体" w:cs="宋体"/>
          <w:sz w:val="24"/>
        </w:rPr>
        <w:t>4.2.4响应文档要求</w:t>
      </w:r>
    </w:p>
    <w:p>
      <w:pPr>
        <w:pStyle w:val="13"/>
        <w:ind w:firstLine="480"/>
        <w:rPr>
          <w:rFonts w:ascii="宋体" w:hAnsi="宋体" w:cs="宋体"/>
        </w:rPr>
      </w:pPr>
      <w:r>
        <w:rPr>
          <w:rFonts w:hint="eastAsia" w:ascii="宋体" w:hAnsi="宋体" w:cs="宋体"/>
        </w:rPr>
        <w:t>（1）对于数据中心工作平台优化升级和数据采集和清洗，系统开发应严格遵照国家软件工程规范进行，根据开发进度及时提供有关开发文档，包括软件需求说明书、数据要求说明书、系统设计说明书、数据库设计说明书、测试计划、用户手册、模块开发卷宗、测试分析报告、系统维护手册、操作手册、系统安装手册、能够编译生成目前正在运行的应用程序的源代码等；</w:t>
      </w:r>
    </w:p>
    <w:p>
      <w:pPr>
        <w:pStyle w:val="13"/>
        <w:ind w:firstLine="480"/>
        <w:rPr>
          <w:rFonts w:ascii="宋体" w:hAnsi="宋体" w:cs="宋体"/>
        </w:rPr>
      </w:pPr>
      <w:r>
        <w:rPr>
          <w:rFonts w:hint="eastAsia" w:ascii="宋体" w:hAnsi="宋体" w:cs="宋体"/>
        </w:rPr>
        <w:t>（2）应答文件必须载明为本项目设计的业务总流程图、子系统间业务流程图和数据流图。最终的系统、子系统和各模块业务流程图和数据流程图在系统验收时提供；</w:t>
      </w:r>
    </w:p>
    <w:p>
      <w:pPr>
        <w:pStyle w:val="13"/>
        <w:ind w:firstLine="480"/>
        <w:rPr>
          <w:rFonts w:ascii="宋体" w:hAnsi="宋体" w:cs="宋体"/>
        </w:rPr>
      </w:pPr>
      <w:r>
        <w:rPr>
          <w:rFonts w:hint="eastAsia" w:ascii="宋体" w:hAnsi="宋体" w:cs="宋体"/>
        </w:rPr>
        <w:t>（3）最终提供的软件产品应包括各种相关的软件系统、各阶段开发文档、运行稳定可靠的本系统安装程序、注释清晰明了的能够编译生成目前正在运行的应用程序的源代码等。</w:t>
      </w:r>
    </w:p>
    <w:p>
      <w:pPr>
        <w:pStyle w:val="13"/>
        <w:ind w:firstLine="480"/>
        <w:rPr>
          <w:rFonts w:ascii="宋体" w:hAnsi="宋体" w:cs="宋体"/>
        </w:rPr>
      </w:pPr>
      <w:r>
        <w:rPr>
          <w:rFonts w:hint="eastAsia" w:ascii="宋体" w:hAnsi="宋体" w:cs="宋体"/>
        </w:rPr>
        <w:t>（4）对于数据中心日常运维服务，需提供能够完成该运维任务的人员名单，包括学历、技能描述和技术证书、项目经验等证明材料。</w:t>
      </w:r>
    </w:p>
    <w:p>
      <w:pPr>
        <w:pStyle w:val="13"/>
        <w:ind w:firstLine="480"/>
        <w:rPr>
          <w:rFonts w:ascii="宋体" w:hAnsi="宋体" w:cs="宋体"/>
        </w:rPr>
      </w:pPr>
      <w:r>
        <w:rPr>
          <w:rFonts w:hint="eastAsia" w:ascii="宋体" w:hAnsi="宋体" w:cs="宋体"/>
        </w:rPr>
        <w:t>（5）对于新增服务器端网络安全软件，需提供品牌型号和功能描述。</w:t>
      </w:r>
    </w:p>
    <w:p>
      <w:pPr>
        <w:spacing w:line="360" w:lineRule="auto"/>
        <w:ind w:firstLine="482" w:firstLineChars="200"/>
        <w:outlineLvl w:val="2"/>
        <w:rPr>
          <w:rFonts w:ascii="宋体" w:hAnsi="宋体" w:cs="宋体"/>
          <w:b/>
          <w:sz w:val="24"/>
        </w:rPr>
      </w:pPr>
      <w:r>
        <w:rPr>
          <w:rFonts w:hint="eastAsia" w:ascii="宋体" w:hAnsi="宋体" w:cs="宋体"/>
          <w:b/>
          <w:sz w:val="24"/>
        </w:rPr>
        <w:t>4.3 系统测试、验收及售后服务</w:t>
      </w:r>
    </w:p>
    <w:p>
      <w:pPr>
        <w:pStyle w:val="14"/>
        <w:numPr>
          <w:ilvl w:val="0"/>
          <w:numId w:val="0"/>
        </w:numPr>
        <w:spacing w:before="0" w:after="0"/>
        <w:ind w:firstLine="480" w:firstLineChars="200"/>
        <w:rPr>
          <w:rFonts w:ascii="宋体" w:hAnsi="宋体" w:cs="宋体"/>
        </w:rPr>
      </w:pPr>
      <w:r>
        <w:rPr>
          <w:rFonts w:hint="eastAsia" w:ascii="宋体" w:hAnsi="宋体" w:cs="宋体"/>
        </w:rPr>
        <w:t>4.3.1软件系统测试与验收</w:t>
      </w:r>
    </w:p>
    <w:p>
      <w:pPr>
        <w:pStyle w:val="14"/>
        <w:numPr>
          <w:ilvl w:val="0"/>
          <w:numId w:val="0"/>
        </w:numPr>
        <w:spacing w:before="0" w:after="0"/>
        <w:ind w:firstLine="480" w:firstLineChars="200"/>
        <w:rPr>
          <w:rFonts w:ascii="宋体" w:hAnsi="宋体" w:cs="宋体"/>
        </w:rPr>
      </w:pPr>
      <w:r>
        <w:rPr>
          <w:rFonts w:hint="eastAsia" w:ascii="宋体" w:hAnsi="宋体" w:cs="宋体"/>
        </w:rPr>
        <w:t>（1）目的和任务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 xml:space="preserve"> 软件测试的目的是采用技术的手段，根据预定的目标，按照一定的规则和过程，检测和发现软件中存在的各种问题、缺陷和错误。软件测试是检验和保证软件产品的正确性与可靠性的一种基本方法。</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2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 xml:space="preserve"> 服务提供商开发的任何软件产品都必须经过必要的测试过程并经确认后才能付诸使用。为了保证测试的完整性和全面性，原则上测试活动应由开发者以外的人员设计和进行。测试完成以后应及时做好总结并提呈测试报告。测试所用到的工具及产生的所有说明、数据等文档资料必须作为项目开发的基本文档妥善保存。</w:t>
      </w:r>
    </w:p>
    <w:p>
      <w:pPr>
        <w:pStyle w:val="14"/>
        <w:numPr>
          <w:ilvl w:val="0"/>
          <w:numId w:val="0"/>
        </w:numPr>
        <w:tabs>
          <w:tab w:val="left" w:pos="756"/>
          <w:tab w:val="clear" w:pos="1290"/>
        </w:tabs>
        <w:spacing w:before="0" w:after="0"/>
        <w:ind w:firstLine="480" w:firstLineChars="200"/>
        <w:rPr>
          <w:rFonts w:ascii="宋体" w:hAnsi="宋体" w:cs="宋体"/>
        </w:rPr>
      </w:pPr>
      <w:r>
        <w:rPr>
          <w:rFonts w:hint="eastAsia" w:ascii="宋体" w:hAnsi="宋体" w:cs="宋体"/>
        </w:rPr>
        <w:t>（2）软件测试的阶段</w:t>
      </w:r>
    </w:p>
    <w:p>
      <w:pPr>
        <w:pStyle w:val="13"/>
        <w:ind w:firstLine="480"/>
        <w:rPr>
          <w:rFonts w:ascii="宋体" w:hAnsi="宋体" w:cs="宋体"/>
        </w:rPr>
      </w:pPr>
      <w:r>
        <w:rPr>
          <w:rFonts w:hint="eastAsia" w:ascii="宋体" w:hAnsi="宋体" w:cs="宋体"/>
        </w:rPr>
        <w:t>软件测试是一项软件质量保证技术，由不同的人在软件开发的不同阶段，针对不同的目标采用不同的技术手段来进行。根据软件测试的要求、范围和目的的不同，测试过程一般可分为下列阶段：</w:t>
      </w:r>
    </w:p>
    <w:p>
      <w:pPr>
        <w:pStyle w:val="13"/>
        <w:ind w:firstLine="480"/>
        <w:rPr>
          <w:rFonts w:ascii="宋体" w:hAnsi="宋体" w:cs="宋体"/>
        </w:rPr>
      </w:pPr>
      <w:r>
        <w:rPr>
          <w:rFonts w:hint="eastAsia" w:ascii="宋体" w:hAnsi="宋体" w:cs="宋体"/>
        </w:rPr>
        <w:t>单元测试(Unit Test)</w:t>
      </w:r>
    </w:p>
    <w:p>
      <w:pPr>
        <w:pStyle w:val="13"/>
        <w:ind w:firstLine="480"/>
        <w:rPr>
          <w:rFonts w:ascii="宋体" w:hAnsi="宋体" w:cs="宋体"/>
        </w:rPr>
      </w:pPr>
      <w:r>
        <w:rPr>
          <w:rFonts w:hint="eastAsia" w:ascii="宋体" w:hAnsi="宋体" w:cs="宋体"/>
        </w:rPr>
        <w:t>集成测试(Integration Test)</w:t>
      </w:r>
    </w:p>
    <w:p>
      <w:pPr>
        <w:pStyle w:val="13"/>
        <w:ind w:firstLine="480"/>
        <w:rPr>
          <w:rFonts w:ascii="宋体" w:hAnsi="宋体" w:cs="宋体"/>
        </w:rPr>
      </w:pPr>
      <w:r>
        <w:rPr>
          <w:rFonts w:hint="eastAsia" w:ascii="宋体" w:hAnsi="宋体" w:cs="宋体"/>
        </w:rPr>
        <w:t>压力测试（Strees Testing）</w:t>
      </w:r>
    </w:p>
    <w:p>
      <w:pPr>
        <w:pStyle w:val="13"/>
        <w:ind w:firstLine="480"/>
        <w:rPr>
          <w:rFonts w:ascii="宋体" w:hAnsi="宋体" w:cs="宋体"/>
        </w:rPr>
      </w:pPr>
      <w:r>
        <w:rPr>
          <w:rFonts w:hint="eastAsia" w:ascii="宋体" w:hAnsi="宋体" w:cs="宋体"/>
        </w:rPr>
        <w:t>性能测试（Performance Testing）</w:t>
      </w:r>
    </w:p>
    <w:p>
      <w:pPr>
        <w:pStyle w:val="13"/>
        <w:ind w:firstLine="480"/>
        <w:rPr>
          <w:rFonts w:ascii="宋体" w:hAnsi="宋体" w:cs="宋体"/>
        </w:rPr>
      </w:pPr>
      <w:r>
        <w:rPr>
          <w:rFonts w:hint="eastAsia" w:ascii="宋体" w:hAnsi="宋体" w:cs="宋体"/>
        </w:rPr>
        <w:t>4.3.2系统维护与运营支持服务的要求</w:t>
      </w:r>
    </w:p>
    <w:p>
      <w:pPr>
        <w:pStyle w:val="13"/>
        <w:ind w:firstLine="480"/>
        <w:rPr>
          <w:rFonts w:ascii="宋体" w:hAnsi="宋体" w:cs="宋体"/>
        </w:rPr>
      </w:pPr>
      <w:r>
        <w:rPr>
          <w:rFonts w:hint="eastAsia" w:ascii="宋体" w:hAnsi="宋体" w:cs="宋体"/>
        </w:rPr>
        <w:t>系统维护将作为方案的一个重要考虑部分，项目方案中必须要注重提出系统维护的方案，包括软件维护方案、硬件维护方案、需求变更方案等。</w:t>
      </w:r>
    </w:p>
    <w:p>
      <w:pPr>
        <w:pStyle w:val="13"/>
        <w:ind w:firstLine="480"/>
        <w:rPr>
          <w:rFonts w:ascii="宋体" w:hAnsi="宋体" w:cs="宋体"/>
        </w:rPr>
      </w:pPr>
      <w:r>
        <w:rPr>
          <w:rFonts w:hint="eastAsia" w:ascii="宋体" w:hAnsi="宋体" w:cs="宋体"/>
        </w:rPr>
        <w:t>（1）系统维护与售后服务的形式：</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电话、传真</w:t>
      </w:r>
    </w:p>
    <w:p>
      <w:pPr>
        <w:pStyle w:val="13"/>
        <w:ind w:firstLine="480"/>
        <w:rPr>
          <w:rFonts w:ascii="宋体" w:hAnsi="宋体" w:cs="宋体"/>
        </w:rPr>
      </w:pPr>
      <w:r>
        <w:rPr>
          <w:rFonts w:hint="eastAsia" w:ascii="宋体" w:hAnsi="宋体" w:cs="宋体"/>
        </w:rPr>
        <w:t>提供工作时间响应的系统维护热线服务，由专业技术人员负责接听并解答用户的问题。并在用户许可的前提下，提供远程拨入诊断服务。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2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现场服务</w:t>
      </w:r>
    </w:p>
    <w:p>
      <w:pPr>
        <w:pStyle w:val="13"/>
        <w:ind w:firstLine="480"/>
        <w:rPr>
          <w:rFonts w:ascii="宋体" w:hAnsi="宋体" w:cs="宋体"/>
        </w:rPr>
      </w:pPr>
      <w:r>
        <w:rPr>
          <w:rFonts w:hint="eastAsia" w:ascii="宋体" w:hAnsi="宋体" w:cs="宋体"/>
        </w:rPr>
        <w:t>对于软件故障，技术支持工程师能在现场确定故障原因，并于现场解决问题。对于无法现场排除的故障，技术支持工程师能够提出应急解决方案，并能够在</w:t>
      </w:r>
      <w:r>
        <w:rPr>
          <w:rFonts w:hint="eastAsia" w:ascii="宋体" w:hAnsi="宋体" w:cs="宋体"/>
          <w:lang w:val="en-US" w:eastAsia="zh-CN"/>
        </w:rPr>
        <w:t>2-3</w:t>
      </w:r>
      <w:r>
        <w:rPr>
          <w:rFonts w:hint="eastAsia" w:ascii="宋体" w:hAnsi="宋体" w:cs="宋体"/>
        </w:rPr>
        <w:t>个工作日内恢复系统正常运行。</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3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hint="eastAsia" w:ascii="宋体" w:hAnsi="宋体" w:cs="宋体"/>
        </w:rPr>
        <w:t>响应时间</w:t>
      </w:r>
    </w:p>
    <w:p>
      <w:pPr>
        <w:pStyle w:val="13"/>
        <w:ind w:firstLine="480"/>
        <w:rPr>
          <w:rFonts w:ascii="宋体" w:hAnsi="宋体" w:cs="宋体"/>
        </w:rPr>
      </w:pPr>
      <w:r>
        <w:rPr>
          <w:rFonts w:hint="eastAsia" w:ascii="宋体" w:hAnsi="宋体" w:cs="宋体"/>
        </w:rPr>
        <w:t>任何时间报告故障事件，可获即时回应，如需要现场检修的，须及时赶赴现场上门服务。</w:t>
      </w:r>
    </w:p>
    <w:p>
      <w:pPr>
        <w:pStyle w:val="13"/>
        <w:ind w:firstLine="480"/>
        <w:rPr>
          <w:rFonts w:ascii="宋体" w:hAnsi="宋体" w:cs="宋体"/>
        </w:rPr>
      </w:pPr>
      <w:r>
        <w:rPr>
          <w:rFonts w:hint="eastAsia" w:ascii="宋体" w:hAnsi="宋体" w:cs="宋体"/>
        </w:rPr>
        <w:t>（2）服务承诺要求</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1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①</w:t>
      </w:r>
      <w:r>
        <w:rPr>
          <w:rFonts w:ascii="宋体" w:hAnsi="宋体" w:cs="宋体"/>
        </w:rPr>
        <w:fldChar w:fldCharType="end"/>
      </w:r>
      <w:r>
        <w:rPr>
          <w:rFonts w:hint="eastAsia" w:ascii="宋体" w:hAnsi="宋体" w:cs="宋体"/>
        </w:rPr>
        <w:t xml:space="preserve"> 参选人须承诺对于所有由参选人购买的硬件系统、系统软件、数据库提供原厂家一年以上免费保修及系统技术支持服务。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2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②</w:t>
      </w:r>
      <w:r>
        <w:rPr>
          <w:rFonts w:ascii="宋体" w:hAnsi="宋体" w:cs="宋体"/>
        </w:rPr>
        <w:fldChar w:fldCharType="end"/>
      </w:r>
      <w:r>
        <w:rPr>
          <w:rFonts w:hint="eastAsia" w:ascii="宋体" w:hAnsi="宋体" w:cs="宋体"/>
        </w:rPr>
        <w:t xml:space="preserve"> 参选人须承诺负责所有硬件、系统、软件现场安装服务，并保证安装后系统运作正常。</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3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③</w:t>
      </w:r>
      <w:r>
        <w:rPr>
          <w:rFonts w:ascii="宋体" w:hAnsi="宋体" w:cs="宋体"/>
        </w:rPr>
        <w:fldChar w:fldCharType="end"/>
      </w:r>
      <w:r>
        <w:rPr>
          <w:rFonts w:hint="eastAsia" w:ascii="宋体" w:hAnsi="宋体" w:cs="宋体"/>
        </w:rPr>
        <w:t xml:space="preserve"> 所有保修服务方式均由参选人上门保修，即由参选人派专员到用户使用现场维修。由此产生的一切费用均由参选人承担。</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4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④</w:t>
      </w:r>
      <w:r>
        <w:rPr>
          <w:rFonts w:ascii="宋体" w:hAnsi="宋体" w:cs="宋体"/>
        </w:rPr>
        <w:fldChar w:fldCharType="end"/>
      </w:r>
      <w:r>
        <w:rPr>
          <w:rFonts w:hint="eastAsia" w:ascii="宋体" w:hAnsi="宋体" w:cs="宋体"/>
        </w:rPr>
        <w:t xml:space="preserve"> 任何时间报告故障事件，可获即时回应，在2小时内赶赴现场上门服务。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5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⑤</w:t>
      </w:r>
      <w:r>
        <w:rPr>
          <w:rFonts w:ascii="宋体" w:hAnsi="宋体" w:cs="宋体"/>
        </w:rPr>
        <w:fldChar w:fldCharType="end"/>
      </w:r>
      <w:r>
        <w:rPr>
          <w:rFonts w:hint="eastAsia" w:ascii="宋体" w:hAnsi="宋体" w:cs="宋体"/>
        </w:rPr>
        <w:t xml:space="preserve"> 参选人须承诺提供软件版本及资料更新服务。</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6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⑥</w:t>
      </w:r>
      <w:r>
        <w:rPr>
          <w:rFonts w:ascii="宋体" w:hAnsi="宋体" w:cs="宋体"/>
        </w:rPr>
        <w:fldChar w:fldCharType="end"/>
      </w:r>
      <w:r>
        <w:rPr>
          <w:rFonts w:hint="eastAsia" w:ascii="宋体" w:hAnsi="宋体" w:cs="宋体"/>
        </w:rPr>
        <w:t xml:space="preserve"> 参选人须承诺在保修期内，每三个月参选人的工程师将对整个系统进行安全检测。</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7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⑦</w:t>
      </w:r>
      <w:r>
        <w:rPr>
          <w:rFonts w:ascii="宋体" w:hAnsi="宋体" w:cs="宋体"/>
        </w:rPr>
        <w:fldChar w:fldCharType="end"/>
      </w:r>
      <w:r>
        <w:rPr>
          <w:rFonts w:hint="eastAsia" w:ascii="宋体" w:hAnsi="宋体" w:cs="宋体"/>
        </w:rPr>
        <w:t xml:space="preserve"> 在系统交付使用后的1年时间内，中标人将派专职技术人员驻场或远程提供7*24小时软硬件系统的运维保障和相关技术支持服务。加强安全防护，提供全面的安全防护策略，每月提供安全检测并出具报告，定期升级病毒库、扫描漏洞、备份数据和应用，及时响应并快速解决安全故障和问题。</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8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⑧</w:t>
      </w:r>
      <w:r>
        <w:rPr>
          <w:rFonts w:ascii="宋体" w:hAnsi="宋体" w:cs="宋体"/>
        </w:rPr>
        <w:fldChar w:fldCharType="end"/>
      </w:r>
      <w:r>
        <w:rPr>
          <w:rFonts w:hint="eastAsia" w:ascii="宋体" w:hAnsi="宋体" w:cs="宋体"/>
        </w:rPr>
        <w:t xml:space="preserve"> 参选人应配备开发团队，完成软件升级和数据清洗工作，对开发的应用系统，由中标人提供一年的应用系统免费软件版本升级及功能更新服务。需优化现有网络爬虫系统功能。定期提供数据采集和数据清洗及优化。更新数据库和资料库。</w:t>
      </w:r>
    </w:p>
    <w:p>
      <w:pPr>
        <w:pStyle w:val="13"/>
        <w:ind w:firstLine="480"/>
        <w:rPr>
          <w:rFonts w:ascii="宋体" w:hAnsi="宋体" w:cs="宋体"/>
        </w:rPr>
      </w:pPr>
      <w:r>
        <w:rPr>
          <w:rFonts w:ascii="宋体" w:hAnsi="宋体" w:cs="宋体"/>
        </w:rPr>
        <w:fldChar w:fldCharType="begin"/>
      </w:r>
      <w:r>
        <w:rPr>
          <w:rFonts w:ascii="宋体" w:hAnsi="宋体" w:cs="宋体"/>
        </w:rPr>
        <w:instrText xml:space="preserve"> </w:instrText>
      </w:r>
      <w:r>
        <w:rPr>
          <w:rFonts w:hint="eastAsia" w:ascii="宋体" w:hAnsi="宋体" w:cs="宋体"/>
        </w:rPr>
        <w:instrText xml:space="preserve">= 9 \* GB3</w:instrText>
      </w:r>
      <w:r>
        <w:rPr>
          <w:rFonts w:ascii="宋体" w:hAnsi="宋体" w:cs="宋体"/>
        </w:rPr>
        <w:instrText xml:space="preserve"> </w:instrText>
      </w:r>
      <w:r>
        <w:rPr>
          <w:rFonts w:ascii="宋体" w:hAnsi="宋体" w:cs="宋体"/>
        </w:rPr>
        <w:fldChar w:fldCharType="separate"/>
      </w:r>
      <w:r>
        <w:rPr>
          <w:rFonts w:hint="eastAsia" w:ascii="宋体" w:hAnsi="宋体" w:cs="宋体"/>
        </w:rPr>
        <w:t>⑨</w:t>
      </w:r>
      <w:r>
        <w:rPr>
          <w:rFonts w:ascii="宋体" w:hAnsi="宋体" w:cs="宋体"/>
        </w:rPr>
        <w:fldChar w:fldCharType="end"/>
      </w:r>
      <w:r>
        <w:rPr>
          <w:rFonts w:hint="eastAsia" w:ascii="宋体" w:hAnsi="宋体" w:cs="宋体"/>
        </w:rPr>
        <w:t xml:space="preserve"> 中标人应根据项目实际需要，向采购方提供全面的产品培训和软件使用以及简单故障的确定、处理培训，包括系统管理员培训和用户操作培训。</w:t>
      </w:r>
    </w:p>
    <w:p>
      <w:pPr>
        <w:spacing w:line="360" w:lineRule="auto"/>
        <w:ind w:firstLine="482" w:firstLineChars="200"/>
        <w:outlineLvl w:val="1"/>
        <w:rPr>
          <w:rFonts w:ascii="宋体" w:hAnsi="宋体" w:cs="宋体"/>
          <w:b/>
          <w:sz w:val="24"/>
        </w:rPr>
      </w:pPr>
      <w:bookmarkStart w:id="14" w:name="_Toc305055919"/>
      <w:bookmarkStart w:id="15" w:name="_Toc339021925"/>
      <w:r>
        <w:rPr>
          <w:rFonts w:hint="eastAsia" w:ascii="宋体" w:hAnsi="宋体" w:cs="宋体"/>
          <w:b/>
          <w:sz w:val="24"/>
        </w:rPr>
        <w:t>5、技术服务进度要求</w:t>
      </w:r>
      <w:bookmarkEnd w:id="14"/>
      <w:bookmarkEnd w:id="15"/>
    </w:p>
    <w:p>
      <w:pPr>
        <w:pStyle w:val="13"/>
        <w:ind w:firstLine="480"/>
        <w:rPr>
          <w:rFonts w:ascii="宋体" w:hAnsi="宋体" w:cs="宋体"/>
        </w:rPr>
      </w:pPr>
      <w:r>
        <w:rPr>
          <w:rFonts w:hint="eastAsia" w:ascii="宋体" w:hAnsi="宋体" w:cs="宋体"/>
        </w:rPr>
        <w:t>根据工作安排，中标人应在201</w:t>
      </w:r>
      <w:r>
        <w:rPr>
          <w:rFonts w:hint="eastAsia" w:ascii="宋体" w:hAnsi="宋体" w:cs="宋体"/>
          <w:lang w:val="en-US" w:eastAsia="zh-CN"/>
        </w:rPr>
        <w:t>9</w:t>
      </w:r>
      <w:r>
        <w:rPr>
          <w:rFonts w:hint="eastAsia" w:ascii="宋体" w:hAnsi="宋体" w:cs="宋体"/>
        </w:rPr>
        <w:t>年12月2</w:t>
      </w:r>
      <w:r>
        <w:rPr>
          <w:rFonts w:hint="eastAsia" w:ascii="宋体" w:hAnsi="宋体" w:cs="宋体"/>
          <w:lang w:val="en-US" w:eastAsia="zh-CN"/>
        </w:rPr>
        <w:t>5</w:t>
      </w:r>
      <w:r>
        <w:rPr>
          <w:rFonts w:hint="eastAsia" w:ascii="宋体" w:hAnsi="宋体" w:cs="宋体"/>
        </w:rPr>
        <w:t>日前提交设计方案及初步版本，20</w:t>
      </w:r>
      <w:r>
        <w:rPr>
          <w:rFonts w:hint="eastAsia" w:ascii="宋体" w:hAnsi="宋体" w:cs="宋体"/>
          <w:lang w:val="en-US" w:eastAsia="zh-CN"/>
        </w:rPr>
        <w:t>20</w:t>
      </w:r>
      <w:r>
        <w:rPr>
          <w:rFonts w:hint="eastAsia" w:ascii="宋体" w:hAnsi="宋体" w:cs="宋体"/>
        </w:rPr>
        <w:t>年3月1日前初步完成数据采集系统和数据共享平台的优化升级工作，每月完成数据采集和清洗，</w:t>
      </w:r>
      <w:r>
        <w:rPr>
          <w:rFonts w:hint="eastAsia" w:ascii="宋体" w:hAnsi="宋体" w:cs="宋体"/>
          <w:lang w:eastAsia="zh-CN"/>
        </w:rPr>
        <w:t>每月</w:t>
      </w:r>
      <w:r>
        <w:rPr>
          <w:rFonts w:hint="eastAsia" w:ascii="宋体" w:hAnsi="宋体" w:cs="宋体"/>
        </w:rPr>
        <w:t>完善数据库内容建设；保证正版服务器端杀毒软件到期后延续。</w:t>
      </w:r>
    </w:p>
    <w:p>
      <w:pPr>
        <w:spacing w:line="360" w:lineRule="auto"/>
        <w:ind w:firstLine="482" w:firstLineChars="200"/>
        <w:outlineLvl w:val="1"/>
        <w:rPr>
          <w:rFonts w:ascii="宋体" w:hAnsi="宋体" w:cs="宋体"/>
          <w:b/>
          <w:sz w:val="24"/>
        </w:rPr>
      </w:pPr>
      <w:r>
        <w:rPr>
          <w:rFonts w:hint="eastAsia" w:ascii="宋体" w:hAnsi="宋体" w:cs="宋体"/>
          <w:b/>
          <w:sz w:val="24"/>
        </w:rPr>
        <w:t>6、参选方案要求</w:t>
      </w:r>
    </w:p>
    <w:p>
      <w:pPr>
        <w:pStyle w:val="13"/>
        <w:ind w:firstLine="480"/>
        <w:rPr>
          <w:rFonts w:ascii="宋体" w:hAnsi="宋体" w:cs="宋体"/>
        </w:rPr>
      </w:pPr>
      <w:r>
        <w:rPr>
          <w:rFonts w:hint="eastAsia" w:ascii="宋体" w:hAnsi="宋体" w:cs="宋体"/>
        </w:rPr>
        <w:t>参选人须编制提交“201</w:t>
      </w:r>
      <w:r>
        <w:rPr>
          <w:rFonts w:hint="eastAsia" w:ascii="宋体" w:hAnsi="宋体" w:cs="宋体"/>
          <w:lang w:val="en-US" w:eastAsia="zh-CN"/>
        </w:rPr>
        <w:t>9</w:t>
      </w:r>
      <w:r>
        <w:rPr>
          <w:rFonts w:hint="eastAsia" w:ascii="宋体" w:hAnsi="宋体" w:cs="宋体"/>
        </w:rPr>
        <w:t>年中国服务外包数据中心运维服务”项目的应答方案,方案主要内容包括但不限于:</w:t>
      </w:r>
    </w:p>
    <w:p>
      <w:pPr>
        <w:pStyle w:val="13"/>
        <w:ind w:firstLine="480"/>
        <w:rPr>
          <w:rFonts w:ascii="宋体" w:hAnsi="宋体" w:cs="宋体"/>
        </w:rPr>
      </w:pPr>
      <w:r>
        <w:rPr>
          <w:rFonts w:hint="eastAsia" w:ascii="宋体" w:hAnsi="宋体" w:cs="宋体"/>
        </w:rPr>
        <w:t>（1）对项目意义和工作目标的理解和认识；</w:t>
      </w:r>
    </w:p>
    <w:p>
      <w:pPr>
        <w:pStyle w:val="13"/>
        <w:ind w:firstLine="480"/>
        <w:rPr>
          <w:rFonts w:ascii="宋体" w:hAnsi="宋体" w:cs="宋体"/>
        </w:rPr>
      </w:pPr>
      <w:r>
        <w:rPr>
          <w:rFonts w:hint="eastAsia" w:ascii="宋体" w:hAnsi="宋体" w:cs="宋体"/>
        </w:rPr>
        <w:t>（2）项目建设内容和建设方式</w:t>
      </w:r>
    </w:p>
    <w:p>
      <w:pPr>
        <w:pStyle w:val="13"/>
        <w:ind w:firstLine="480"/>
        <w:rPr>
          <w:rFonts w:ascii="宋体" w:hAnsi="宋体" w:cs="宋体"/>
        </w:rPr>
      </w:pPr>
      <w:r>
        <w:rPr>
          <w:rFonts w:hint="eastAsia" w:ascii="宋体" w:hAnsi="宋体" w:cs="宋体"/>
        </w:rPr>
        <w:t>（3）项目需求概述和需求分析</w:t>
      </w:r>
    </w:p>
    <w:p>
      <w:pPr>
        <w:pStyle w:val="13"/>
        <w:ind w:firstLine="480"/>
        <w:rPr>
          <w:rFonts w:ascii="宋体" w:hAnsi="宋体" w:cs="宋体"/>
        </w:rPr>
      </w:pPr>
      <w:r>
        <w:rPr>
          <w:rFonts w:hint="eastAsia" w:ascii="宋体" w:hAnsi="宋体" w:cs="宋体"/>
        </w:rPr>
        <w:t>（4）系统概要设计方案及相关技术工具，实现该软件系统的主要技术手段，程序语言，实现方法和工具等；软件数据库设计、接口设计、前端设计等</w:t>
      </w:r>
    </w:p>
    <w:p>
      <w:pPr>
        <w:pStyle w:val="13"/>
        <w:ind w:firstLine="480"/>
        <w:rPr>
          <w:rFonts w:ascii="宋体" w:hAnsi="宋体" w:cs="宋体"/>
        </w:rPr>
      </w:pPr>
      <w:r>
        <w:rPr>
          <w:rFonts w:hint="eastAsia" w:ascii="宋体" w:hAnsi="宋体" w:cs="宋体"/>
        </w:rPr>
        <w:t>（5）开展此项工作的技术条件；</w:t>
      </w:r>
    </w:p>
    <w:p>
      <w:pPr>
        <w:pStyle w:val="13"/>
        <w:ind w:firstLine="480"/>
        <w:rPr>
          <w:rFonts w:ascii="宋体" w:hAnsi="宋体" w:cs="宋体"/>
        </w:rPr>
      </w:pPr>
      <w:r>
        <w:rPr>
          <w:rFonts w:hint="eastAsia" w:ascii="宋体" w:hAnsi="宋体" w:cs="宋体"/>
        </w:rPr>
        <w:t>（6）新增软件开发工作计划安排，包括需求分析、概要设计、详细设计、数据挖掘、代码实现、软件测试、试运行及上线、质量评估和质量保证等主要工作环节的组织形式、工作质量和标准、人员投入计划、时间进度安排；</w:t>
      </w:r>
    </w:p>
    <w:p>
      <w:pPr>
        <w:pStyle w:val="13"/>
        <w:ind w:firstLine="480"/>
        <w:rPr>
          <w:rFonts w:ascii="宋体" w:hAnsi="宋体" w:cs="宋体"/>
        </w:rPr>
      </w:pPr>
      <w:r>
        <w:rPr>
          <w:rFonts w:hint="eastAsia" w:ascii="宋体" w:hAnsi="宋体" w:cs="宋体"/>
        </w:rPr>
        <w:t>（7）项目负责人和项目组主要技术人员基本情况信息；</w:t>
      </w:r>
    </w:p>
    <w:p>
      <w:pPr>
        <w:pStyle w:val="13"/>
        <w:ind w:firstLine="480"/>
        <w:rPr>
          <w:rFonts w:ascii="宋体" w:hAnsi="宋体" w:cs="宋体"/>
        </w:rPr>
      </w:pPr>
      <w:r>
        <w:rPr>
          <w:rFonts w:hint="eastAsia" w:ascii="宋体" w:hAnsi="宋体" w:cs="宋体"/>
        </w:rPr>
        <w:t>（8）最终提交的成果：运维文档、数据库、安全软件、应用软件、源代码、技术文档等。</w:t>
      </w:r>
    </w:p>
    <w:p>
      <w:pPr>
        <w:pStyle w:val="13"/>
        <w:ind w:firstLine="480"/>
        <w:rPr>
          <w:rFonts w:ascii="宋体" w:hAnsi="宋体" w:cs="宋体"/>
        </w:rPr>
      </w:pPr>
      <w:r>
        <w:rPr>
          <w:rFonts w:hint="eastAsia" w:ascii="宋体" w:hAnsi="宋体" w:cs="宋体"/>
        </w:rPr>
        <w:t>（9）项目详细经费预算；</w:t>
      </w:r>
    </w:p>
    <w:p>
      <w:pPr>
        <w:spacing w:line="360" w:lineRule="auto"/>
        <w:ind w:firstLine="444" w:firstLineChars="185"/>
        <w:outlineLvl w:val="0"/>
        <w:rPr>
          <w:rFonts w:ascii="宋体" w:hAnsi="宋体" w:cs="宋体"/>
          <w:sz w:val="24"/>
        </w:rPr>
      </w:pPr>
      <w:r>
        <w:rPr>
          <w:rFonts w:hint="eastAsia" w:ascii="宋体" w:hAnsi="宋体" w:cs="宋体"/>
          <w:sz w:val="24"/>
        </w:rPr>
        <w:t>（10）项目相关沟通、协调和保障机制设计。</w:t>
      </w:r>
    </w:p>
    <w:p>
      <w:pPr>
        <w:spacing w:line="360" w:lineRule="auto"/>
        <w:ind w:firstLine="444" w:firstLineChars="185"/>
        <w:outlineLvl w:val="0"/>
        <w:rPr>
          <w:rFonts w:ascii="宋体" w:hAnsi="宋体" w:cs="宋体"/>
          <w:sz w:val="24"/>
        </w:rPr>
      </w:pPr>
    </w:p>
    <w:p>
      <w:pPr>
        <w:spacing w:line="360" w:lineRule="auto"/>
        <w:ind w:firstLine="444" w:firstLineChars="185"/>
        <w:outlineLvl w:val="0"/>
        <w:rPr>
          <w:rFonts w:ascii="宋体" w:hAnsi="宋体" w:cs="宋体"/>
          <w:sz w:val="24"/>
        </w:rPr>
      </w:pPr>
    </w:p>
    <w:p>
      <w:pPr>
        <w:spacing w:line="360" w:lineRule="auto"/>
        <w:outlineLvl w:val="0"/>
        <w:rPr>
          <w:rFonts w:ascii="宋体" w:hAnsi="宋体" w:cs="宋体"/>
          <w:sz w:val="24"/>
        </w:rPr>
      </w:pPr>
    </w:p>
    <w:p>
      <w:pPr>
        <w:widowControl/>
        <w:jc w:val="left"/>
        <w:rPr>
          <w:rFonts w:hint="eastAsia" w:ascii="宋体" w:hAnsi="宋体" w:cs="宋体"/>
          <w:sz w:val="24"/>
        </w:rPr>
      </w:pPr>
    </w:p>
    <w:p>
      <w:pPr>
        <w:widowControl/>
        <w:jc w:val="left"/>
        <w:rPr>
          <w:rFonts w:hint="eastAsia" w:ascii="宋体" w:hAnsi="宋体" w:cs="宋体"/>
          <w:sz w:val="24"/>
        </w:rPr>
      </w:pPr>
    </w:p>
    <w:p>
      <w:pPr>
        <w:widowControl/>
        <w:jc w:val="left"/>
        <w:rPr>
          <w:rFonts w:ascii="宋体" w:hAnsi="宋体" w:cs="宋体"/>
          <w:sz w:val="24"/>
        </w:rPr>
      </w:pPr>
      <w:bookmarkStart w:id="20" w:name="_GoBack"/>
      <w:bookmarkEnd w:id="20"/>
      <w:r>
        <w:rPr>
          <w:rFonts w:hint="eastAsia" w:ascii="宋体" w:hAnsi="宋体" w:cs="宋体"/>
          <w:sz w:val="24"/>
        </w:rPr>
        <w:t>附件1：</w:t>
      </w:r>
    </w:p>
    <w:tbl>
      <w:tblPr>
        <w:tblStyle w:val="6"/>
        <w:tblW w:w="0" w:type="auto"/>
        <w:tblInd w:w="93" w:type="dxa"/>
        <w:tblLayout w:type="autofit"/>
        <w:tblCellMar>
          <w:top w:w="0" w:type="dxa"/>
          <w:left w:w="108" w:type="dxa"/>
          <w:bottom w:w="0" w:type="dxa"/>
          <w:right w:w="108" w:type="dxa"/>
        </w:tblCellMar>
      </w:tblPr>
      <w:tblGrid>
        <w:gridCol w:w="875"/>
        <w:gridCol w:w="2284"/>
        <w:gridCol w:w="1533"/>
        <w:gridCol w:w="2978"/>
        <w:gridCol w:w="759"/>
      </w:tblGrid>
      <w:tr>
        <w:tblPrEx>
          <w:tblCellMar>
            <w:top w:w="0" w:type="dxa"/>
            <w:left w:w="108" w:type="dxa"/>
            <w:bottom w:w="0" w:type="dxa"/>
            <w:right w:w="108" w:type="dxa"/>
          </w:tblCellMar>
        </w:tblPrEx>
        <w:trPr>
          <w:trHeight w:val="300" w:hRule="atLeast"/>
        </w:trPr>
        <w:tc>
          <w:tcPr>
            <w:tcW w:w="0" w:type="auto"/>
            <w:gridSpan w:val="5"/>
            <w:tcBorders>
              <w:top w:val="single" w:color="auto" w:sz="4" w:space="0"/>
              <w:left w:val="single" w:color="auto" w:sz="8" w:space="0"/>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32"/>
                <w:szCs w:val="40"/>
              </w:rPr>
            </w:pPr>
            <w:r>
              <w:rPr>
                <w:rFonts w:hint="eastAsia" w:ascii="宋体" w:hAnsi="宋体" w:cs="宋体"/>
                <w:b/>
                <w:color w:val="000000"/>
                <w:sz w:val="32"/>
                <w:szCs w:val="40"/>
              </w:rPr>
              <w:t>201</w:t>
            </w:r>
            <w:r>
              <w:rPr>
                <w:rFonts w:hint="eastAsia" w:ascii="宋体" w:hAnsi="宋体" w:cs="宋体"/>
                <w:b/>
                <w:color w:val="000000"/>
                <w:sz w:val="32"/>
                <w:szCs w:val="40"/>
                <w:lang w:val="en-US" w:eastAsia="zh-CN"/>
              </w:rPr>
              <w:t>9</w:t>
            </w:r>
            <w:r>
              <w:rPr>
                <w:rFonts w:hint="eastAsia" w:ascii="宋体" w:hAnsi="宋体" w:cs="宋体"/>
                <w:b/>
                <w:color w:val="000000"/>
                <w:sz w:val="32"/>
                <w:szCs w:val="40"/>
              </w:rPr>
              <w:t>年中国服务外包数据中心运维服务采购需求</w:t>
            </w:r>
          </w:p>
        </w:tc>
      </w:tr>
      <w:tr>
        <w:tblPrEx>
          <w:tblCellMar>
            <w:top w:w="0" w:type="dxa"/>
            <w:left w:w="108" w:type="dxa"/>
            <w:bottom w:w="0" w:type="dxa"/>
            <w:right w:w="108" w:type="dxa"/>
          </w:tblCellMar>
        </w:tblPrEx>
        <w:trPr>
          <w:trHeight w:val="300" w:hRule="atLeast"/>
        </w:trPr>
        <w:tc>
          <w:tcPr>
            <w:tcW w:w="0" w:type="auto"/>
            <w:tcBorders>
              <w:top w:val="nil"/>
              <w:left w:val="single" w:color="auto" w:sz="8" w:space="0"/>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采购内容</w:t>
            </w:r>
          </w:p>
        </w:tc>
        <w:tc>
          <w:tcPr>
            <w:tcW w:w="0" w:type="auto"/>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具体工作</w:t>
            </w:r>
          </w:p>
        </w:tc>
        <w:tc>
          <w:tcPr>
            <w:tcW w:w="0" w:type="auto"/>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服务期限</w:t>
            </w:r>
          </w:p>
        </w:tc>
        <w:tc>
          <w:tcPr>
            <w:tcW w:w="2978" w:type="dxa"/>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服务要求（量化指标）</w:t>
            </w:r>
          </w:p>
        </w:tc>
        <w:tc>
          <w:tcPr>
            <w:tcW w:w="759" w:type="dxa"/>
            <w:tcBorders>
              <w:top w:val="nil"/>
              <w:left w:val="nil"/>
              <w:bottom w:val="single" w:color="auto" w:sz="8" w:space="0"/>
              <w:right w:val="single" w:color="auto" w:sz="8" w:space="0"/>
            </w:tcBorders>
            <w:shd w:val="clear" w:color="000000" w:fill="FFFFFF" w:themeFill="background1"/>
            <w:vAlign w:val="center"/>
          </w:tcPr>
          <w:p>
            <w:pPr>
              <w:widowControl/>
              <w:jc w:val="center"/>
              <w:rPr>
                <w:rFonts w:ascii="宋体" w:hAnsi="宋体" w:cs="宋体"/>
                <w:b/>
                <w:bCs/>
                <w:color w:val="000000"/>
                <w:sz w:val="24"/>
                <w:szCs w:val="24"/>
              </w:rPr>
            </w:pPr>
            <w:r>
              <w:rPr>
                <w:rFonts w:hint="eastAsia" w:ascii="宋体" w:hAnsi="宋体" w:cs="宋体"/>
                <w:b/>
                <w:bCs/>
                <w:color w:val="000000"/>
                <w:sz w:val="24"/>
                <w:szCs w:val="24"/>
              </w:rPr>
              <w:t>工作量占比</w:t>
            </w:r>
          </w:p>
        </w:tc>
      </w:tr>
      <w:tr>
        <w:tblPrEx>
          <w:tblCellMar>
            <w:top w:w="0" w:type="dxa"/>
            <w:left w:w="108" w:type="dxa"/>
            <w:bottom w:w="0" w:type="dxa"/>
            <w:right w:w="108" w:type="dxa"/>
          </w:tblCellMar>
        </w:tblPrEx>
        <w:trPr>
          <w:trHeight w:val="2865" w:hRule="atLeast"/>
        </w:trPr>
        <w:tc>
          <w:tcPr>
            <w:tcW w:w="0" w:type="auto"/>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一、数据中心日常运维服务</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专职技术人员驻场或远程提供7*24小时软硬件系统的运维保障和相关技术支持服务。加强安全防护，提供全面的安全防护策略，每月提供安全检测并出具报告，定期升级病毒库、扫描漏洞、备份数据和应用，及时响应并快速解决安全故障和问题。</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自合同签订之日起一年（保证维护服务不中断）。</w:t>
            </w:r>
          </w:p>
        </w:tc>
        <w:tc>
          <w:tcPr>
            <w:tcW w:w="297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1.每日设备和系统维护（含网络、机房软硬件、数据库、操作系统等），提交每周运维报告；快速响应并解决各类IT系统软硬件故障和问题。（IDC机房服务器等硬件设备宕机频率低于1%；数据中心软件系统访问出错率低于1%；数据中心系统数据备份方式/频率：每日增量备份、每周全部备份、定期离线备份。）</w:t>
            </w:r>
            <w:r>
              <w:rPr>
                <w:rFonts w:hint="eastAsia" w:ascii="宋体" w:hAnsi="宋体" w:cs="宋体"/>
                <w:color w:val="000000"/>
                <w:sz w:val="24"/>
                <w:szCs w:val="24"/>
              </w:rPr>
              <w:br w:type="textWrapping"/>
            </w:r>
            <w:r>
              <w:rPr>
                <w:rFonts w:hint="eastAsia" w:ascii="宋体" w:hAnsi="宋体" w:cs="宋体"/>
                <w:color w:val="000000"/>
                <w:sz w:val="24"/>
                <w:szCs w:val="24"/>
              </w:rPr>
              <w:t>2.优化安全策略，每月提供安全监测报告，实时更新病毒库。</w:t>
            </w:r>
          </w:p>
        </w:tc>
        <w:tc>
          <w:tcPr>
            <w:tcW w:w="7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lang w:val="en-US" w:eastAsia="zh-CN"/>
              </w:rPr>
              <w:t>0</w:t>
            </w:r>
            <w:r>
              <w:rPr>
                <w:rFonts w:hint="eastAsia" w:ascii="宋体" w:hAnsi="宋体" w:cs="宋体"/>
                <w:color w:val="000000"/>
                <w:sz w:val="24"/>
                <w:szCs w:val="24"/>
              </w:rPr>
              <w:t>%</w:t>
            </w:r>
          </w:p>
        </w:tc>
      </w:tr>
      <w:tr>
        <w:tblPrEx>
          <w:tblCellMar>
            <w:top w:w="0" w:type="dxa"/>
            <w:left w:w="108" w:type="dxa"/>
            <w:bottom w:w="0" w:type="dxa"/>
            <w:right w:w="108" w:type="dxa"/>
          </w:tblCellMar>
        </w:tblPrEx>
        <w:trPr>
          <w:trHeight w:val="1020" w:hRule="atLeast"/>
        </w:trPr>
        <w:tc>
          <w:tcPr>
            <w:tcW w:w="0" w:type="auto"/>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二、新增服务器端网络安全软件</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服务器端的杀毒软件延续和安全维护。</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购买一年度的有效期，自到期之日起顺延一年。</w:t>
            </w:r>
          </w:p>
        </w:tc>
        <w:tc>
          <w:tcPr>
            <w:tcW w:w="2978"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3.延续正版服务器端杀毒软件（增加一年L</w:t>
            </w:r>
            <w:r>
              <w:rPr>
                <w:rFonts w:ascii="宋体" w:hAnsi="宋体" w:cs="宋体"/>
                <w:color w:val="000000"/>
                <w:sz w:val="24"/>
                <w:szCs w:val="24"/>
              </w:rPr>
              <w:t>icense</w:t>
            </w:r>
            <w:r>
              <w:rPr>
                <w:rFonts w:hint="eastAsia" w:ascii="宋体" w:hAnsi="宋体" w:cs="宋体"/>
                <w:color w:val="000000"/>
                <w:sz w:val="24"/>
                <w:szCs w:val="24"/>
              </w:rPr>
              <w:t>），不少于16台Linux系统服务器</w:t>
            </w:r>
          </w:p>
        </w:tc>
        <w:tc>
          <w:tcPr>
            <w:tcW w:w="7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sz w:val="40"/>
                <w:szCs w:val="40"/>
              </w:rPr>
            </w:pPr>
            <w:r>
              <w:rPr>
                <w:rFonts w:hint="eastAsia" w:ascii="宋体" w:hAnsi="宋体" w:cs="宋体"/>
                <w:color w:val="000000"/>
                <w:sz w:val="24"/>
                <w:szCs w:val="24"/>
              </w:rPr>
              <w:t>5%</w:t>
            </w:r>
          </w:p>
        </w:tc>
      </w:tr>
      <w:tr>
        <w:tblPrEx>
          <w:tblCellMar>
            <w:top w:w="0" w:type="dxa"/>
            <w:left w:w="108" w:type="dxa"/>
            <w:bottom w:w="0" w:type="dxa"/>
            <w:right w:w="108" w:type="dxa"/>
          </w:tblCellMar>
        </w:tblPrEx>
        <w:trPr>
          <w:trHeight w:val="1125" w:hRule="atLeast"/>
        </w:trPr>
        <w:tc>
          <w:tcPr>
            <w:tcW w:w="0" w:type="auto"/>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三、数据中心内容建设工作</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维护好数据中心现有各个系统和平台功能、资源和数据，完善统一资源查询平台。优化现有数据采集系统功能。利用好数据采集系统定期提供数据采集和数据清洗及优化。定期更新数据库和资料库，提高数据质量。</w:t>
            </w:r>
          </w:p>
        </w:tc>
        <w:tc>
          <w:tcPr>
            <w:tcW w:w="0" w:type="auto"/>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201</w:t>
            </w:r>
            <w:r>
              <w:rPr>
                <w:rFonts w:hint="eastAsia" w:ascii="宋体" w:hAnsi="宋体" w:cs="宋体"/>
                <w:color w:val="000000"/>
                <w:sz w:val="24"/>
                <w:szCs w:val="24"/>
                <w:lang w:val="en-US" w:eastAsia="zh-CN"/>
              </w:rPr>
              <w:t>9</w:t>
            </w:r>
            <w:r>
              <w:rPr>
                <w:rFonts w:hint="eastAsia" w:ascii="宋体" w:hAnsi="宋体" w:cs="宋体"/>
                <w:color w:val="000000"/>
                <w:sz w:val="24"/>
                <w:szCs w:val="24"/>
              </w:rPr>
              <w:t>年12月底之前制定详细方案，20</w:t>
            </w:r>
            <w:r>
              <w:rPr>
                <w:rFonts w:hint="eastAsia" w:ascii="宋体" w:hAnsi="宋体" w:cs="宋体"/>
                <w:color w:val="000000"/>
                <w:sz w:val="24"/>
                <w:szCs w:val="24"/>
                <w:lang w:val="en-US" w:eastAsia="zh-CN"/>
              </w:rPr>
              <w:t>20</w:t>
            </w:r>
            <w:r>
              <w:rPr>
                <w:rFonts w:hint="eastAsia" w:ascii="宋体" w:hAnsi="宋体" w:cs="宋体"/>
                <w:color w:val="000000"/>
                <w:sz w:val="24"/>
                <w:szCs w:val="24"/>
              </w:rPr>
              <w:t>年具体实施。建设周期一年。每月完成数据采集和入库。</w:t>
            </w:r>
          </w:p>
        </w:tc>
        <w:tc>
          <w:tcPr>
            <w:tcW w:w="2978" w:type="dxa"/>
            <w:tcBorders>
              <w:top w:val="nil"/>
              <w:left w:val="nil"/>
              <w:bottom w:val="single" w:color="auto" w:sz="8" w:space="0"/>
              <w:right w:val="single" w:color="auto" w:sz="8" w:space="0"/>
            </w:tcBorders>
            <w:shd w:val="clear" w:color="auto" w:fill="auto"/>
            <w:vAlign w:val="center"/>
          </w:tcPr>
          <w:p>
            <w:pPr>
              <w:widowControl/>
              <w:numPr>
                <w:ilvl w:val="0"/>
                <w:numId w:val="2"/>
              </w:numPr>
              <w:rPr>
                <w:rFonts w:hint="eastAsia" w:ascii="宋体" w:hAnsi="宋体" w:cs="宋体"/>
                <w:color w:val="000000"/>
                <w:sz w:val="24"/>
                <w:szCs w:val="24"/>
              </w:rPr>
            </w:pPr>
            <w:r>
              <w:rPr>
                <w:rFonts w:hint="eastAsia" w:ascii="宋体" w:hAnsi="宋体" w:cs="宋体"/>
                <w:color w:val="000000"/>
                <w:sz w:val="24"/>
                <w:szCs w:val="24"/>
              </w:rPr>
              <w:t>数据采集系统优化工作。改善数据采集模块，定期自动更新采集信息，完善数据分类，提升操作的便利性，提供数据挖掘服务。提供中英文网站</w:t>
            </w:r>
            <w:r>
              <w:rPr>
                <w:rFonts w:hint="eastAsia" w:ascii="宋体" w:hAnsi="宋体" w:cs="宋体"/>
                <w:color w:val="000000"/>
                <w:sz w:val="24"/>
                <w:szCs w:val="24"/>
                <w:lang w:eastAsia="zh-CN"/>
              </w:rPr>
              <w:t>数据和内容</w:t>
            </w:r>
            <w:r>
              <w:rPr>
                <w:rFonts w:hint="eastAsia" w:ascii="宋体" w:hAnsi="宋体" w:cs="宋体"/>
                <w:color w:val="000000"/>
                <w:sz w:val="24"/>
                <w:szCs w:val="24"/>
              </w:rPr>
              <w:t>挖掘和入库服务。</w:t>
            </w:r>
          </w:p>
          <w:p>
            <w:pPr>
              <w:widowControl/>
              <w:numPr>
                <w:ilvl w:val="0"/>
                <w:numId w:val="2"/>
              </w:numPr>
              <w:rPr>
                <w:rFonts w:ascii="宋体" w:hAnsi="宋体" w:cs="宋体"/>
                <w:color w:val="000000"/>
                <w:sz w:val="24"/>
                <w:szCs w:val="24"/>
              </w:rPr>
            </w:pPr>
            <w:r>
              <w:rPr>
                <w:rFonts w:hint="eastAsia" w:ascii="宋体" w:hAnsi="宋体" w:cs="宋体"/>
                <w:color w:val="000000"/>
                <w:sz w:val="24"/>
                <w:szCs w:val="24"/>
                <w:lang w:eastAsia="zh-CN"/>
              </w:rPr>
              <w:t>每周按实际需求提供行业报告和行业动态汇总。</w:t>
            </w:r>
            <w:r>
              <w:rPr>
                <w:rFonts w:hint="eastAsia" w:ascii="宋体" w:hAnsi="宋体" w:cs="宋体"/>
                <w:color w:val="000000"/>
                <w:sz w:val="24"/>
                <w:szCs w:val="24"/>
              </w:rPr>
              <w:br w:type="textWrapping"/>
            </w:r>
            <w:r>
              <w:rPr>
                <w:rFonts w:hint="eastAsia" w:ascii="宋体" w:hAnsi="宋体" w:cs="宋体"/>
                <w:color w:val="000000"/>
                <w:sz w:val="24"/>
                <w:szCs w:val="24"/>
              </w:rPr>
              <w:t>6.每周内部和外部数据采集、清洗、入库工作。</w:t>
            </w:r>
          </w:p>
        </w:tc>
        <w:tc>
          <w:tcPr>
            <w:tcW w:w="75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sz w:val="36"/>
                <w:szCs w:val="36"/>
              </w:rPr>
            </w:pPr>
            <w:r>
              <w:rPr>
                <w:rFonts w:hint="eastAsia" w:ascii="宋体" w:hAnsi="宋体" w:cs="宋体"/>
                <w:color w:val="000000"/>
                <w:sz w:val="24"/>
                <w:szCs w:val="24"/>
              </w:rPr>
              <w:t>4</w:t>
            </w:r>
            <w:r>
              <w:rPr>
                <w:rFonts w:hint="eastAsia" w:ascii="宋体" w:hAnsi="宋体" w:cs="宋体"/>
                <w:color w:val="000000"/>
                <w:sz w:val="24"/>
                <w:szCs w:val="24"/>
                <w:lang w:val="en-US" w:eastAsia="zh-CN"/>
              </w:rPr>
              <w:t>5</w:t>
            </w:r>
            <w:r>
              <w:rPr>
                <w:rFonts w:hint="eastAsia" w:ascii="宋体" w:hAnsi="宋体" w:cs="宋体"/>
                <w:color w:val="000000"/>
                <w:sz w:val="24"/>
                <w:szCs w:val="24"/>
              </w:rPr>
              <w:t>%</w:t>
            </w:r>
          </w:p>
        </w:tc>
      </w:tr>
    </w:tbl>
    <w:p>
      <w:pPr>
        <w:spacing w:line="360" w:lineRule="auto"/>
        <w:outlineLvl w:val="0"/>
        <w:rPr>
          <w:rFonts w:ascii="宋体" w:hAnsi="宋体" w:cs="宋体"/>
          <w:sz w:val="24"/>
        </w:rPr>
      </w:pPr>
    </w:p>
    <w:tbl>
      <w:tblPr>
        <w:tblStyle w:val="6"/>
        <w:tblW w:w="0" w:type="auto"/>
        <w:tblInd w:w="93" w:type="dxa"/>
        <w:tblLayout w:type="fixed"/>
        <w:tblCellMar>
          <w:top w:w="0" w:type="dxa"/>
          <w:left w:w="108" w:type="dxa"/>
          <w:bottom w:w="0" w:type="dxa"/>
          <w:right w:w="108" w:type="dxa"/>
        </w:tblCellMar>
      </w:tblPr>
      <w:tblGrid>
        <w:gridCol w:w="344"/>
        <w:gridCol w:w="560"/>
        <w:gridCol w:w="973"/>
        <w:gridCol w:w="2674"/>
        <w:gridCol w:w="2268"/>
        <w:gridCol w:w="1610"/>
      </w:tblGrid>
      <w:tr>
        <w:tblPrEx>
          <w:tblCellMar>
            <w:top w:w="0" w:type="dxa"/>
            <w:left w:w="108" w:type="dxa"/>
            <w:bottom w:w="0" w:type="dxa"/>
            <w:right w:w="108" w:type="dxa"/>
          </w:tblCellMar>
        </w:tblPrEx>
        <w:trPr>
          <w:trHeight w:val="525" w:hRule="atLeast"/>
        </w:trPr>
        <w:tc>
          <w:tcPr>
            <w:tcW w:w="8429"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cs="宋体"/>
                <w:b/>
                <w:bCs/>
                <w:color w:val="000000"/>
                <w:sz w:val="32"/>
                <w:szCs w:val="40"/>
              </w:rPr>
            </w:pPr>
            <w:r>
              <w:rPr>
                <w:rFonts w:hint="eastAsia" w:ascii="宋体" w:hAnsi="宋体" w:cs="宋体"/>
                <w:b/>
                <w:bCs/>
                <w:color w:val="000000"/>
                <w:sz w:val="32"/>
                <w:szCs w:val="40"/>
              </w:rPr>
              <w:t>201</w:t>
            </w:r>
            <w:r>
              <w:rPr>
                <w:rFonts w:hint="eastAsia" w:ascii="宋体" w:hAnsi="宋体" w:cs="宋体"/>
                <w:b/>
                <w:bCs/>
                <w:color w:val="000000"/>
                <w:sz w:val="32"/>
                <w:szCs w:val="40"/>
                <w:lang w:val="en-US" w:eastAsia="zh-CN"/>
              </w:rPr>
              <w:t>9</w:t>
            </w:r>
            <w:r>
              <w:rPr>
                <w:rFonts w:hint="eastAsia" w:ascii="宋体" w:hAnsi="宋体" w:cs="宋体"/>
                <w:b/>
                <w:bCs/>
                <w:color w:val="000000"/>
                <w:sz w:val="32"/>
                <w:szCs w:val="40"/>
              </w:rPr>
              <w:t>年中国服务外包数据中心运维服务采购详细要求</w:t>
            </w:r>
          </w:p>
        </w:tc>
      </w:tr>
      <w:tr>
        <w:tblPrEx>
          <w:tblCellMar>
            <w:top w:w="0" w:type="dxa"/>
            <w:left w:w="108" w:type="dxa"/>
            <w:bottom w:w="0" w:type="dxa"/>
            <w:right w:w="108" w:type="dxa"/>
          </w:tblCellMar>
        </w:tblPrEx>
        <w:trPr>
          <w:trHeight w:val="480" w:hRule="atLeast"/>
        </w:trPr>
        <w:tc>
          <w:tcPr>
            <w:tcW w:w="344"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序号</w:t>
            </w:r>
          </w:p>
        </w:tc>
        <w:tc>
          <w:tcPr>
            <w:tcW w:w="56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模块/任务</w:t>
            </w:r>
          </w:p>
        </w:tc>
        <w:tc>
          <w:tcPr>
            <w:tcW w:w="9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行业分类/栏目</w:t>
            </w:r>
          </w:p>
        </w:tc>
        <w:tc>
          <w:tcPr>
            <w:tcW w:w="267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详细功能/任务</w:t>
            </w:r>
          </w:p>
        </w:tc>
        <w:tc>
          <w:tcPr>
            <w:tcW w:w="226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详细需求描述</w:t>
            </w:r>
          </w:p>
        </w:tc>
        <w:tc>
          <w:tcPr>
            <w:tcW w:w="161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b/>
                <w:bCs/>
                <w:color w:val="000000"/>
                <w:sz w:val="22"/>
                <w:szCs w:val="22"/>
              </w:rPr>
            </w:pPr>
            <w:r>
              <w:rPr>
                <w:rFonts w:hint="eastAsia" w:ascii="宋体" w:hAnsi="宋体" w:cs="宋体"/>
                <w:b/>
                <w:bCs/>
                <w:color w:val="000000"/>
                <w:sz w:val="22"/>
                <w:szCs w:val="22"/>
              </w:rPr>
              <w:t>备注</w:t>
            </w:r>
          </w:p>
        </w:tc>
      </w:tr>
      <w:tr>
        <w:tblPrEx>
          <w:tblCellMar>
            <w:top w:w="0" w:type="dxa"/>
            <w:left w:w="108" w:type="dxa"/>
            <w:bottom w:w="0" w:type="dxa"/>
            <w:right w:w="108" w:type="dxa"/>
          </w:tblCellMar>
        </w:tblPrEx>
        <w:trPr>
          <w:trHeight w:val="585" w:hRule="atLeast"/>
        </w:trPr>
        <w:tc>
          <w:tcPr>
            <w:tcW w:w="8429" w:type="dxa"/>
            <w:gridSpan w:val="6"/>
            <w:tcBorders>
              <w:top w:val="single" w:color="auto" w:sz="4" w:space="0"/>
              <w:left w:val="single" w:color="auto" w:sz="4" w:space="0"/>
              <w:bottom w:val="single" w:color="auto" w:sz="4" w:space="0"/>
              <w:right w:val="single" w:color="auto" w:sz="4" w:space="0"/>
            </w:tcBorders>
            <w:shd w:val="clear" w:color="000000" w:fill="DCE6F1"/>
            <w:noWrap/>
            <w:vAlign w:val="bottom"/>
          </w:tcPr>
          <w:p>
            <w:pPr>
              <w:widowControl/>
              <w:jc w:val="left"/>
              <w:rPr>
                <w:rFonts w:ascii="宋体" w:hAnsi="宋体" w:cs="宋体"/>
                <w:b/>
                <w:bCs/>
                <w:color w:val="000000"/>
                <w:sz w:val="32"/>
                <w:szCs w:val="32"/>
              </w:rPr>
            </w:pPr>
            <w:r>
              <w:rPr>
                <w:rFonts w:hint="eastAsia" w:ascii="宋体" w:hAnsi="宋体" w:cs="宋体"/>
                <w:b/>
                <w:bCs/>
                <w:color w:val="000000"/>
                <w:sz w:val="32"/>
                <w:szCs w:val="32"/>
              </w:rPr>
              <w:t>一、数据中心日常运维服务</w:t>
            </w:r>
          </w:p>
        </w:tc>
      </w:tr>
      <w:tr>
        <w:tblPrEx>
          <w:tblCellMar>
            <w:top w:w="0" w:type="dxa"/>
            <w:left w:w="108" w:type="dxa"/>
            <w:bottom w:w="0" w:type="dxa"/>
            <w:right w:w="108" w:type="dxa"/>
          </w:tblCellMar>
        </w:tblPrEx>
        <w:trPr>
          <w:trHeight w:val="1125"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1</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采购内容一</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数据中心机房所有软硬件</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驻场和远程维护工作</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驻场人员现场或远程对数据中心电信机房、中心办公区、北京办公区设备和系统及软硬件进行每日维护，形成每日监测报告；必要时对机房所有设备进行现场监测和维护，快速响应并解决软硬件故障和问题。</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周期一年，周报和月报。IDC机房服务器等硬件设备宕机频率低于1%；数据中心软件系统访问出错率低于1%；数据中心系统数据备份方式/频率：每日增量备份、每周全部备份、定期离线备份。</w:t>
            </w:r>
          </w:p>
        </w:tc>
      </w:tr>
      <w:tr>
        <w:tblPrEx>
          <w:tblCellMar>
            <w:top w:w="0" w:type="dxa"/>
            <w:left w:w="108" w:type="dxa"/>
            <w:bottom w:w="0" w:type="dxa"/>
            <w:right w:w="108" w:type="dxa"/>
          </w:tblCellMar>
        </w:tblPrEx>
        <w:trPr>
          <w:trHeight w:val="81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2</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采购内容一</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数据中心机房所有软硬件</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数据中心安全防护工作</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对负责数据中心安全维护，完善现有的安全和备份策略，每周进行安全监测并出具报告；定期升级病毒库、扫描漏洞、备份数据和应用，及时响应并快速解决安全故障和问题。</w:t>
            </w:r>
          </w:p>
          <w:p>
            <w:pPr>
              <w:widowControl/>
              <w:rPr>
                <w:rFonts w:ascii="宋体" w:hAnsi="宋体" w:cs="宋体"/>
                <w:color w:val="000000"/>
                <w:sz w:val="24"/>
                <w:szCs w:val="24"/>
              </w:rPr>
            </w:pPr>
          </w:p>
        </w:tc>
        <w:tc>
          <w:tcPr>
            <w:tcW w:w="161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周期一年</w:t>
            </w:r>
          </w:p>
        </w:tc>
      </w:tr>
      <w:tr>
        <w:tblPrEx>
          <w:tblCellMar>
            <w:top w:w="0" w:type="dxa"/>
            <w:left w:w="108" w:type="dxa"/>
            <w:bottom w:w="0" w:type="dxa"/>
            <w:right w:w="108" w:type="dxa"/>
          </w:tblCellMar>
        </w:tblPrEx>
        <w:trPr>
          <w:trHeight w:val="510" w:hRule="atLeast"/>
        </w:trPr>
        <w:tc>
          <w:tcPr>
            <w:tcW w:w="8429" w:type="dxa"/>
            <w:gridSpan w:val="6"/>
            <w:tcBorders>
              <w:top w:val="single" w:color="auto" w:sz="4" w:space="0"/>
              <w:left w:val="single" w:color="auto" w:sz="4" w:space="0"/>
              <w:bottom w:val="single" w:color="auto" w:sz="4" w:space="0"/>
              <w:right w:val="single" w:color="000000" w:sz="4" w:space="0"/>
            </w:tcBorders>
            <w:shd w:val="clear" w:color="000000" w:fill="DCE6F1"/>
            <w:noWrap/>
            <w:vAlign w:val="bottom"/>
          </w:tcPr>
          <w:p>
            <w:pPr>
              <w:widowControl/>
              <w:jc w:val="left"/>
              <w:rPr>
                <w:rFonts w:ascii="宋体" w:hAnsi="宋体" w:cs="宋体"/>
                <w:b/>
                <w:bCs/>
                <w:color w:val="000000"/>
                <w:sz w:val="32"/>
                <w:szCs w:val="32"/>
              </w:rPr>
            </w:pPr>
            <w:r>
              <w:rPr>
                <w:rFonts w:hint="eastAsia" w:ascii="宋体" w:hAnsi="宋体" w:cs="宋体"/>
                <w:b/>
                <w:bCs/>
                <w:color w:val="000000"/>
                <w:sz w:val="32"/>
                <w:szCs w:val="32"/>
              </w:rPr>
              <w:t>二、新增服务器端网络安全软件</w:t>
            </w:r>
          </w:p>
        </w:tc>
      </w:tr>
      <w:tr>
        <w:tblPrEx>
          <w:tblCellMar>
            <w:top w:w="0" w:type="dxa"/>
            <w:left w:w="108" w:type="dxa"/>
            <w:bottom w:w="0" w:type="dxa"/>
            <w:right w:w="108" w:type="dxa"/>
          </w:tblCellMar>
        </w:tblPrEx>
        <w:trPr>
          <w:trHeight w:val="975"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1</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采购内容二</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强化网络安全维护</w:t>
            </w:r>
          </w:p>
        </w:tc>
        <w:tc>
          <w:tcPr>
            <w:tcW w:w="2674"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购买服务器端杀毒软件（一年L</w:t>
            </w:r>
            <w:r>
              <w:rPr>
                <w:rFonts w:ascii="宋体" w:hAnsi="宋体" w:cs="宋体"/>
                <w:color w:val="000000"/>
                <w:sz w:val="24"/>
                <w:szCs w:val="24"/>
              </w:rPr>
              <w:t>icense</w:t>
            </w:r>
            <w:r>
              <w:rPr>
                <w:rFonts w:hint="eastAsia" w:ascii="宋体" w:hAnsi="宋体" w:cs="宋体"/>
                <w:color w:val="000000"/>
                <w:sz w:val="24"/>
                <w:szCs w:val="24"/>
              </w:rPr>
              <w:t>），不少于16个服务器客户端</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保证数据中心对外提供服务的设备安装正版安全防护软件，并实时更新病毒库，监测安全问题，及应用系统的状态。保证对外提供服务的应用系统和数据库稳定。</w:t>
            </w:r>
          </w:p>
        </w:tc>
        <w:tc>
          <w:tcPr>
            <w:tcW w:w="161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20</w:t>
            </w:r>
            <w:r>
              <w:rPr>
                <w:rFonts w:hint="eastAsia" w:ascii="宋体" w:hAnsi="宋体" w:cs="宋体"/>
                <w:color w:val="000000"/>
                <w:sz w:val="24"/>
                <w:szCs w:val="24"/>
                <w:lang w:val="en-US" w:eastAsia="zh-CN"/>
              </w:rPr>
              <w:t>20</w:t>
            </w:r>
            <w:r>
              <w:rPr>
                <w:rFonts w:hint="eastAsia" w:ascii="宋体" w:hAnsi="宋体" w:cs="宋体"/>
                <w:color w:val="000000"/>
                <w:sz w:val="24"/>
                <w:szCs w:val="24"/>
              </w:rPr>
              <w:t>年1月底之前</w:t>
            </w:r>
          </w:p>
        </w:tc>
      </w:tr>
      <w:tr>
        <w:tblPrEx>
          <w:tblCellMar>
            <w:top w:w="0" w:type="dxa"/>
            <w:left w:w="108" w:type="dxa"/>
            <w:bottom w:w="0" w:type="dxa"/>
            <w:right w:w="108" w:type="dxa"/>
          </w:tblCellMar>
        </w:tblPrEx>
        <w:trPr>
          <w:trHeight w:val="510" w:hRule="atLeast"/>
        </w:trPr>
        <w:tc>
          <w:tcPr>
            <w:tcW w:w="8429" w:type="dxa"/>
            <w:gridSpan w:val="6"/>
            <w:tcBorders>
              <w:top w:val="single" w:color="auto" w:sz="4" w:space="0"/>
              <w:left w:val="single" w:color="auto" w:sz="4" w:space="0"/>
              <w:bottom w:val="single" w:color="auto" w:sz="4" w:space="0"/>
              <w:right w:val="single" w:color="000000" w:sz="4" w:space="0"/>
            </w:tcBorders>
            <w:shd w:val="clear" w:color="000000" w:fill="DCE6F1"/>
            <w:noWrap/>
            <w:vAlign w:val="bottom"/>
          </w:tcPr>
          <w:p>
            <w:pPr>
              <w:widowControl/>
              <w:jc w:val="left"/>
              <w:rPr>
                <w:rFonts w:ascii="宋体" w:hAnsi="宋体" w:cs="宋体"/>
                <w:b/>
                <w:bCs/>
                <w:color w:val="000000"/>
                <w:sz w:val="32"/>
                <w:szCs w:val="32"/>
              </w:rPr>
            </w:pPr>
            <w:r>
              <w:rPr>
                <w:rFonts w:hint="eastAsia" w:ascii="宋体" w:hAnsi="宋体" w:cs="宋体"/>
                <w:b/>
                <w:bCs/>
                <w:color w:val="000000"/>
                <w:sz w:val="32"/>
                <w:szCs w:val="32"/>
              </w:rPr>
              <w:t>三、数据中心内容建设和维护</w:t>
            </w:r>
          </w:p>
        </w:tc>
      </w:tr>
      <w:tr>
        <w:tblPrEx>
          <w:tblCellMar>
            <w:top w:w="0" w:type="dxa"/>
            <w:left w:w="108" w:type="dxa"/>
            <w:bottom w:w="0" w:type="dxa"/>
            <w:right w:w="108" w:type="dxa"/>
          </w:tblCellMar>
        </w:tblPrEx>
        <w:trPr>
          <w:trHeight w:val="48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1</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采购内容三</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完善统一查询平台功能，数据库维护</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在现有基础之上完善统一查询平台功能和效率。维护数据库，进行优化。</w:t>
            </w:r>
          </w:p>
        </w:tc>
        <w:tc>
          <w:tcPr>
            <w:tcW w:w="2268"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在现有基础之上完善统一查询平台功能和效率。维护中心所有数据库，保证数据库正常运转；</w:t>
            </w:r>
          </w:p>
          <w:p>
            <w:pPr>
              <w:widowControl/>
              <w:rPr>
                <w:rFonts w:ascii="宋体" w:hAnsi="宋体" w:cs="宋体"/>
                <w:color w:val="000000"/>
                <w:sz w:val="24"/>
                <w:szCs w:val="24"/>
              </w:rPr>
            </w:pPr>
            <w:r>
              <w:rPr>
                <w:rFonts w:hint="eastAsia" w:ascii="宋体" w:hAnsi="宋体" w:cs="宋体"/>
                <w:color w:val="000000"/>
                <w:sz w:val="24"/>
                <w:szCs w:val="24"/>
              </w:rPr>
              <w:t>在现有</w:t>
            </w:r>
            <w:r>
              <w:rPr>
                <w:rFonts w:hint="eastAsia" w:ascii="宋体" w:hAnsi="宋体" w:cs="宋体"/>
                <w:color w:val="000000"/>
                <w:sz w:val="24"/>
                <w:szCs w:val="24"/>
                <w:lang w:eastAsia="zh-CN"/>
              </w:rPr>
              <w:t>基础上完善</w:t>
            </w:r>
            <w:r>
              <w:rPr>
                <w:rFonts w:hint="eastAsia" w:ascii="宋体" w:hAnsi="宋体" w:cs="宋体"/>
                <w:color w:val="000000"/>
                <w:sz w:val="24"/>
                <w:szCs w:val="24"/>
              </w:rPr>
              <w:t>对外访问服务会员系统。</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查询平台提升：2019年4月底之前，数据库维护：每月</w:t>
            </w:r>
          </w:p>
        </w:tc>
      </w:tr>
      <w:tr>
        <w:tblPrEx>
          <w:tblCellMar>
            <w:top w:w="0" w:type="dxa"/>
            <w:left w:w="108" w:type="dxa"/>
            <w:bottom w:w="0" w:type="dxa"/>
            <w:right w:w="108" w:type="dxa"/>
          </w:tblCellMar>
        </w:tblPrEx>
        <w:trPr>
          <w:trHeight w:val="54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2</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采购内容三</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数据内容建设和维护</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维护爬虫系统（数据采集系统），进行优化和自动更新。利用技术自动化筛选内容数据，提高内容获取的有效性和效率。</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完善爬虫系统。完善爬虫系统的综合统计功能。</w:t>
            </w:r>
            <w:r>
              <w:rPr>
                <w:rFonts w:hint="eastAsia" w:ascii="宋体" w:hAnsi="宋体" w:cs="宋体"/>
                <w:color w:val="000000"/>
                <w:sz w:val="24"/>
                <w:szCs w:val="24"/>
                <w:lang w:eastAsia="zh-CN"/>
              </w:rPr>
              <w:t>通过采集系统每周完成资料和数据入库</w:t>
            </w:r>
            <w:r>
              <w:rPr>
                <w:rFonts w:hint="eastAsia" w:ascii="宋体" w:hAnsi="宋体" w:cs="宋体"/>
                <w:color w:val="000000"/>
                <w:sz w:val="24"/>
                <w:szCs w:val="24"/>
              </w:rPr>
              <w:t>，每周不少于2000条有效内容或数据入库。（每月8000条左右，目标数量共计：</w:t>
            </w:r>
            <w:r>
              <w:rPr>
                <w:rFonts w:hint="eastAsia" w:ascii="宋体" w:hAnsi="宋体" w:cs="宋体"/>
                <w:color w:val="000000"/>
                <w:sz w:val="24"/>
                <w:szCs w:val="24"/>
                <w:lang w:val="en-US" w:eastAsia="zh-CN"/>
              </w:rPr>
              <w:t>9.6</w:t>
            </w:r>
            <w:r>
              <w:rPr>
                <w:rFonts w:hint="eastAsia" w:ascii="宋体" w:hAnsi="宋体" w:cs="宋体"/>
                <w:color w:val="000000"/>
                <w:sz w:val="24"/>
                <w:szCs w:val="24"/>
              </w:rPr>
              <w:t>万条，按</w:t>
            </w:r>
            <w:r>
              <w:rPr>
                <w:rFonts w:hint="eastAsia" w:ascii="宋体" w:hAnsi="宋体" w:cs="宋体"/>
                <w:color w:val="000000"/>
                <w:sz w:val="24"/>
                <w:szCs w:val="24"/>
                <w:lang w:val="en-US" w:eastAsia="zh-CN"/>
              </w:rPr>
              <w:t>12</w:t>
            </w:r>
            <w:r>
              <w:rPr>
                <w:rFonts w:hint="eastAsia" w:ascii="宋体" w:hAnsi="宋体" w:cs="宋体"/>
                <w:color w:val="000000"/>
                <w:sz w:val="24"/>
                <w:szCs w:val="24"/>
              </w:rPr>
              <w:t>个月计算）</w:t>
            </w:r>
          </w:p>
        </w:tc>
        <w:tc>
          <w:tcPr>
            <w:tcW w:w="1610" w:type="dxa"/>
            <w:tcBorders>
              <w:top w:val="nil"/>
              <w:left w:val="nil"/>
              <w:bottom w:val="single" w:color="auto" w:sz="4" w:space="0"/>
              <w:right w:val="single" w:color="auto" w:sz="4" w:space="0"/>
            </w:tcBorders>
            <w:shd w:val="clear" w:color="auto" w:fill="auto"/>
            <w:vAlign w:val="center"/>
          </w:tcPr>
          <w:p>
            <w:pPr>
              <w:widowControl/>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周期一年</w:t>
            </w:r>
          </w:p>
        </w:tc>
      </w:tr>
      <w:tr>
        <w:tblPrEx>
          <w:tblCellMar>
            <w:top w:w="0" w:type="dxa"/>
            <w:left w:w="108" w:type="dxa"/>
            <w:bottom w:w="0" w:type="dxa"/>
            <w:right w:w="108" w:type="dxa"/>
          </w:tblCellMar>
        </w:tblPrEx>
        <w:trPr>
          <w:trHeight w:val="540" w:hRule="atLeast"/>
        </w:trPr>
        <w:tc>
          <w:tcPr>
            <w:tcW w:w="344"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3</w:t>
            </w:r>
          </w:p>
        </w:tc>
        <w:tc>
          <w:tcPr>
            <w:tcW w:w="5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采购内容三</w:t>
            </w:r>
          </w:p>
        </w:tc>
        <w:tc>
          <w:tcPr>
            <w:tcW w:w="97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数据内容建设和维护</w:t>
            </w:r>
          </w:p>
        </w:tc>
        <w:tc>
          <w:tcPr>
            <w:tcW w:w="2674"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color w:val="000000"/>
                <w:sz w:val="24"/>
                <w:szCs w:val="24"/>
              </w:rPr>
            </w:pPr>
            <w:r>
              <w:rPr>
                <w:rFonts w:hint="eastAsia" w:ascii="宋体" w:hAnsi="宋体" w:cs="宋体"/>
                <w:color w:val="000000"/>
                <w:sz w:val="24"/>
                <w:szCs w:val="24"/>
              </w:rPr>
              <w:t>负责内部和外部数据入库操作（包括在文件共享系统、数据中心平台、及通过人工在网络爬虫系统内提取的数据和内容）</w:t>
            </w:r>
          </w:p>
        </w:tc>
        <w:tc>
          <w:tcPr>
            <w:tcW w:w="2268"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内部和外部数据入库工作，对数据进行采集、清洗和入库。负责内部系统数据更新工作。提供驻场人员专职进行数据/资料收集、入库和内容维护服务。完善数据库行业分类和维护。每周不低于300条，目标每年14400条。</w:t>
            </w:r>
          </w:p>
        </w:tc>
        <w:tc>
          <w:tcPr>
            <w:tcW w:w="1610"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4"/>
                <w:szCs w:val="24"/>
              </w:rPr>
            </w:pPr>
            <w:r>
              <w:rPr>
                <w:rFonts w:hint="eastAsia" w:ascii="宋体" w:hAnsi="宋体" w:cs="宋体"/>
                <w:color w:val="000000"/>
                <w:sz w:val="24"/>
                <w:szCs w:val="24"/>
              </w:rPr>
              <w:t>每周一次，更新内外部数据。</w:t>
            </w:r>
          </w:p>
        </w:tc>
      </w:tr>
    </w:tbl>
    <w:p>
      <w:pPr>
        <w:spacing w:line="360" w:lineRule="auto"/>
        <w:outlineLvl w:val="0"/>
        <w:rPr>
          <w:rFonts w:ascii="宋体" w:hAnsi="宋体" w:cs="宋体"/>
          <w:sz w:val="24"/>
        </w:rPr>
      </w:pPr>
    </w:p>
    <w:p>
      <w:pPr>
        <w:widowControl/>
        <w:jc w:val="left"/>
        <w:rPr>
          <w:rFonts w:ascii="宋体" w:hAnsi="宋体" w:cs="宋体"/>
          <w:b/>
          <w:color w:val="000000"/>
          <w:sz w:val="36"/>
          <w:szCs w:val="36"/>
        </w:rPr>
      </w:pPr>
    </w:p>
    <w:p>
      <w:pPr>
        <w:widowControl/>
        <w:jc w:val="left"/>
        <w:rPr>
          <w:rFonts w:ascii="宋体" w:hAnsi="宋体" w:cs="宋体"/>
          <w:b/>
          <w:color w:val="000000"/>
          <w:sz w:val="36"/>
          <w:szCs w:val="36"/>
        </w:rPr>
      </w:pPr>
    </w:p>
    <w:p>
      <w:pPr>
        <w:widowControl/>
        <w:jc w:val="left"/>
        <w:rPr>
          <w:rFonts w:ascii="宋体" w:hAnsi="宋体" w:cs="宋体"/>
          <w:b/>
          <w:color w:val="000000"/>
          <w:sz w:val="36"/>
          <w:szCs w:val="36"/>
        </w:rPr>
      </w:pPr>
    </w:p>
    <w:p>
      <w:pPr>
        <w:rPr>
          <w:rFonts w:ascii="宋体" w:hAnsi="宋体" w:cs="宋体"/>
          <w:b/>
          <w:color w:val="000000"/>
          <w:sz w:val="36"/>
          <w:szCs w:val="36"/>
        </w:rPr>
      </w:pPr>
      <w:r>
        <w:rPr>
          <w:rFonts w:hint="eastAsia" w:ascii="宋体" w:hAnsi="宋体" w:cs="宋体"/>
          <w:b/>
          <w:color w:val="000000"/>
          <w:sz w:val="36"/>
          <w:szCs w:val="36"/>
        </w:rPr>
        <w:t>附件</w:t>
      </w:r>
      <w:r>
        <w:rPr>
          <w:rFonts w:ascii="宋体" w:hAnsi="宋体" w:cs="宋体"/>
          <w:b/>
          <w:color w:val="000000"/>
          <w:sz w:val="36"/>
          <w:szCs w:val="36"/>
        </w:rPr>
        <w:t>2</w:t>
      </w:r>
      <w:r>
        <w:rPr>
          <w:rFonts w:hint="eastAsia" w:ascii="宋体" w:hAnsi="宋体" w:cs="宋体"/>
          <w:b/>
          <w:color w:val="000000"/>
          <w:sz w:val="36"/>
          <w:szCs w:val="36"/>
        </w:rPr>
        <w:t>：数据库内容维护详细需求</w:t>
      </w:r>
    </w:p>
    <w:p>
      <w:pPr>
        <w:rPr>
          <w:rFonts w:ascii="宋体" w:hAnsi="宋体" w:cs="宋体"/>
          <w:color w:val="000000"/>
          <w:sz w:val="24"/>
          <w:szCs w:val="24"/>
        </w:rPr>
      </w:pPr>
    </w:p>
    <w:p>
      <w:pPr>
        <w:pStyle w:val="13"/>
        <w:ind w:firstLine="0" w:firstLineChars="0"/>
        <w:rPr>
          <w:rFonts w:ascii="宋体" w:hAnsi="宋体" w:cs="宋体"/>
        </w:rPr>
      </w:pPr>
      <w:r>
        <w:rPr>
          <w:rFonts w:hint="eastAsia" w:ascii="宋体" w:hAnsi="宋体" w:cs="宋体"/>
        </w:rPr>
        <w:t>一、数据库内容维护要求</w:t>
      </w:r>
    </w:p>
    <w:p>
      <w:pPr>
        <w:pStyle w:val="13"/>
        <w:ind w:firstLine="0" w:firstLineChars="0"/>
        <w:rPr>
          <w:rFonts w:ascii="宋体" w:hAnsi="宋体" w:cs="宋体"/>
        </w:rPr>
      </w:pPr>
      <w:r>
        <w:rPr>
          <w:rFonts w:hint="eastAsia" w:ascii="宋体" w:hAnsi="宋体" w:cs="宋体"/>
        </w:rPr>
        <w:t>1）甲方提供内容已有内部数据和资料给服务提供方，由服务方负责按周上传数据中心。数据量占新增总量10%左右；</w:t>
      </w:r>
    </w:p>
    <w:p>
      <w:pPr>
        <w:pStyle w:val="13"/>
        <w:ind w:firstLine="0" w:firstLineChars="0"/>
        <w:rPr>
          <w:rFonts w:ascii="宋体" w:hAnsi="宋体" w:cs="宋体"/>
        </w:rPr>
      </w:pPr>
      <w:r>
        <w:rPr>
          <w:rFonts w:hint="eastAsia" w:ascii="宋体" w:hAnsi="宋体" w:cs="宋体"/>
        </w:rPr>
        <w:t>2）甲方提供关注领域的数据/报告/表格/资料等详细说明及来源信息（包括名称、类别、内容来源方或网址、数量等信息）给服务方，由服务方人员搜寻、汇总、上传至数据中心。数据量占新增总量20%左右；</w:t>
      </w:r>
    </w:p>
    <w:p>
      <w:pPr>
        <w:pStyle w:val="13"/>
        <w:ind w:firstLine="0" w:firstLineChars="0"/>
        <w:rPr>
          <w:rFonts w:ascii="宋体" w:hAnsi="宋体" w:cs="宋体"/>
        </w:rPr>
      </w:pPr>
      <w:r>
        <w:rPr>
          <w:rFonts w:hint="eastAsia" w:ascii="宋体" w:hAnsi="宋体" w:cs="宋体"/>
        </w:rPr>
        <w:t>3）甲方提供网址和关注内容点，由服务方开发或使用文本挖掘技术，配置优化并使用网络爬虫，根据甲方具体需求进行信息提取，经甲方确认后上传至数据中心。数据量占新增总量70%左右。</w:t>
      </w:r>
    </w:p>
    <w:p>
      <w:pPr>
        <w:pStyle w:val="13"/>
        <w:ind w:firstLine="0" w:firstLineChars="0"/>
        <w:rPr>
          <w:rFonts w:ascii="宋体" w:hAnsi="宋体" w:cs="宋体"/>
        </w:rPr>
      </w:pPr>
      <w:r>
        <w:rPr>
          <w:rFonts w:hint="eastAsia" w:ascii="宋体" w:hAnsi="宋体" w:cs="宋体"/>
        </w:rPr>
        <w:t>4）按甲方提供的数据来源，乙方收集的各类数据应覆盖详细需求表格的各个类别，实行总量考核，新增总量不低于每周300条，年</w:t>
      </w:r>
      <w:r>
        <w:rPr>
          <w:rFonts w:ascii="宋体" w:hAnsi="宋体" w:cs="宋体"/>
        </w:rPr>
        <w:t>1</w:t>
      </w:r>
      <w:r>
        <w:rPr>
          <w:rFonts w:hint="eastAsia" w:ascii="宋体" w:hAnsi="宋体" w:cs="宋体"/>
        </w:rPr>
        <w:t>.</w:t>
      </w:r>
      <w:r>
        <w:rPr>
          <w:rFonts w:ascii="宋体" w:hAnsi="宋体" w:cs="宋体"/>
        </w:rPr>
        <w:t>44</w:t>
      </w:r>
      <w:r>
        <w:rPr>
          <w:rFonts w:hint="eastAsia" w:ascii="宋体" w:hAnsi="宋体" w:cs="宋体"/>
        </w:rPr>
        <w:t>万条（按每个类别每周20条估算、含各类报道/文章、表格、附件等，在数据中心平台、文件共享平台中体现）。</w:t>
      </w:r>
    </w:p>
    <w:p>
      <w:pPr>
        <w:pStyle w:val="13"/>
        <w:ind w:firstLine="0" w:firstLineChars="0"/>
        <w:rPr>
          <w:rFonts w:ascii="宋体" w:hAnsi="宋体" w:cs="宋体"/>
          <w:color w:val="000000"/>
          <w:szCs w:val="24"/>
        </w:rPr>
      </w:pPr>
      <w:r>
        <w:rPr>
          <w:rFonts w:hint="eastAsia" w:ascii="宋体" w:hAnsi="宋体" w:cs="宋体"/>
        </w:rPr>
        <w:t>5）使用网络爬虫系统，</w:t>
      </w:r>
      <w:r>
        <w:rPr>
          <w:rFonts w:hint="eastAsia" w:ascii="宋体" w:hAnsi="宋体" w:cs="宋体"/>
          <w:color w:val="000000"/>
          <w:szCs w:val="24"/>
        </w:rPr>
        <w:t>进行自动化定向获取内容，进行语义和文本分析，提取有价值的数据和信息并且</w:t>
      </w:r>
      <w:r>
        <w:rPr>
          <w:rFonts w:hint="eastAsia" w:ascii="宋体" w:hAnsi="宋体" w:cs="宋体"/>
          <w:color w:val="000000"/>
          <w:szCs w:val="24"/>
          <w:lang w:eastAsia="zh-CN"/>
        </w:rPr>
        <w:t>人工筛选后</w:t>
      </w:r>
      <w:r>
        <w:rPr>
          <w:rFonts w:hint="eastAsia" w:ascii="宋体" w:hAnsi="宋体" w:cs="宋体"/>
          <w:color w:val="000000"/>
          <w:szCs w:val="24"/>
        </w:rPr>
        <w:t>入库。每周不少于2000条有效内容或数据入库。（每月8000条左右，目标数量共计：年</w:t>
      </w:r>
      <w:r>
        <w:rPr>
          <w:rFonts w:hint="eastAsia" w:ascii="宋体" w:hAnsi="宋体" w:cs="宋体"/>
          <w:color w:val="000000"/>
          <w:szCs w:val="24"/>
          <w:lang w:val="en-US" w:eastAsia="zh-CN"/>
        </w:rPr>
        <w:t>9.6</w:t>
      </w:r>
      <w:r>
        <w:rPr>
          <w:rFonts w:hint="eastAsia" w:ascii="宋体" w:hAnsi="宋体" w:cs="宋体"/>
          <w:color w:val="000000"/>
          <w:szCs w:val="24"/>
        </w:rPr>
        <w:t>万条，按</w:t>
      </w:r>
      <w:r>
        <w:rPr>
          <w:rFonts w:hint="eastAsia" w:ascii="宋体" w:hAnsi="宋体" w:cs="宋体"/>
          <w:color w:val="000000"/>
          <w:szCs w:val="24"/>
          <w:lang w:val="en-US" w:eastAsia="zh-CN"/>
        </w:rPr>
        <w:t>12</w:t>
      </w:r>
      <w:r>
        <w:rPr>
          <w:rFonts w:hint="eastAsia" w:ascii="宋体" w:hAnsi="宋体" w:cs="宋体"/>
          <w:color w:val="000000"/>
          <w:szCs w:val="24"/>
        </w:rPr>
        <w:t>个月计算，在网络爬虫系统中已入库内容中体现）</w:t>
      </w:r>
    </w:p>
    <w:p>
      <w:pPr>
        <w:rPr>
          <w:rFonts w:ascii="宋体" w:hAnsi="宋体" w:cs="宋体"/>
          <w:color w:val="000000"/>
          <w:sz w:val="24"/>
          <w:szCs w:val="24"/>
        </w:rPr>
      </w:pPr>
    </w:p>
    <w:p>
      <w:pPr>
        <w:rPr>
          <w:rFonts w:ascii="宋体" w:hAnsi="宋体" w:cs="宋体"/>
          <w:color w:val="000000"/>
          <w:sz w:val="24"/>
          <w:szCs w:val="24"/>
        </w:rPr>
      </w:pPr>
    </w:p>
    <w:p>
      <w:pPr>
        <w:rPr>
          <w:rFonts w:ascii="宋体" w:hAnsi="宋体" w:cs="宋体"/>
          <w:color w:val="000000"/>
          <w:sz w:val="24"/>
          <w:szCs w:val="24"/>
        </w:rPr>
      </w:pPr>
      <w:r>
        <w:rPr>
          <w:rFonts w:hint="eastAsia" w:ascii="宋体" w:hAnsi="宋体" w:cs="宋体"/>
          <w:color w:val="000000"/>
          <w:sz w:val="24"/>
          <w:szCs w:val="24"/>
        </w:rPr>
        <w:t>二、数据库内容维护需求</w:t>
      </w:r>
    </w:p>
    <w:tbl>
      <w:tblPr>
        <w:tblStyle w:val="6"/>
        <w:tblW w:w="5000" w:type="pct"/>
        <w:tblInd w:w="0" w:type="dxa"/>
        <w:tblLayout w:type="fixed"/>
        <w:tblCellMar>
          <w:top w:w="0" w:type="dxa"/>
          <w:left w:w="108" w:type="dxa"/>
          <w:bottom w:w="0" w:type="dxa"/>
          <w:right w:w="108" w:type="dxa"/>
        </w:tblCellMar>
      </w:tblPr>
      <w:tblGrid>
        <w:gridCol w:w="390"/>
        <w:gridCol w:w="1278"/>
        <w:gridCol w:w="3259"/>
        <w:gridCol w:w="2695"/>
        <w:gridCol w:w="900"/>
      </w:tblGrid>
      <w:tr>
        <w:tblPrEx>
          <w:tblCellMar>
            <w:top w:w="0" w:type="dxa"/>
            <w:left w:w="108" w:type="dxa"/>
            <w:bottom w:w="0" w:type="dxa"/>
            <w:right w:w="108" w:type="dxa"/>
          </w:tblCellMar>
        </w:tblPrEx>
        <w:trPr>
          <w:trHeight w:val="465" w:hRule="atLeast"/>
        </w:trPr>
        <w:tc>
          <w:tcPr>
            <w:tcW w:w="229"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序号</w:t>
            </w:r>
          </w:p>
        </w:tc>
        <w:tc>
          <w:tcPr>
            <w:tcW w:w="750"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数据类别</w:t>
            </w:r>
          </w:p>
        </w:tc>
        <w:tc>
          <w:tcPr>
            <w:tcW w:w="1912"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详细数据及来源说明</w:t>
            </w:r>
          </w:p>
        </w:tc>
        <w:tc>
          <w:tcPr>
            <w:tcW w:w="1581"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内容来源细化（详细内容、报告、表格、发布方名称、发布地址、网站、页面、数量等）</w:t>
            </w:r>
          </w:p>
        </w:tc>
        <w:tc>
          <w:tcPr>
            <w:tcW w:w="528" w:type="pct"/>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数据格式</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宏观经济数据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世界银行、中国国家统计局，各省级统计局、商务部等；各大财经网站数据和文章</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1125" w:hRule="atLeast"/>
        </w:trPr>
        <w:tc>
          <w:tcPr>
            <w:tcW w:w="229"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2</w:t>
            </w:r>
          </w:p>
        </w:tc>
        <w:tc>
          <w:tcPr>
            <w:tcW w:w="750"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服务外包数据</w:t>
            </w:r>
          </w:p>
        </w:tc>
        <w:tc>
          <w:tcPr>
            <w:tcW w:w="1912" w:type="pct"/>
            <w:tcBorders>
              <w:top w:val="nil"/>
              <w:left w:val="nil"/>
              <w:bottom w:val="nil"/>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全球数据、重点国家数据；部委和地方商务系统数据；细分行业数据；各大网站文章；各企业发布信息；示范城市发展数据；服务外包企业发展数据；业务结构数据；东部地区、中部地区、西部地区发展情况、长江经济带发展、“一带一路”合作；</w:t>
            </w:r>
          </w:p>
        </w:tc>
        <w:tc>
          <w:tcPr>
            <w:tcW w:w="1581"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vMerge w:val="restart"/>
            <w:tcBorders>
              <w:top w:val="nil"/>
              <w:left w:val="single" w:color="auto" w:sz="8" w:space="0"/>
              <w:bottom w:val="single" w:color="000000"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80" w:hRule="atLeast"/>
        </w:trPr>
        <w:tc>
          <w:tcPr>
            <w:tcW w:w="229"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cs="宋体"/>
                <w:color w:val="000000"/>
                <w:sz w:val="18"/>
                <w:szCs w:val="18"/>
              </w:rPr>
            </w:pPr>
          </w:p>
        </w:tc>
        <w:tc>
          <w:tcPr>
            <w:tcW w:w="750"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sz w:val="18"/>
                <w:szCs w:val="18"/>
              </w:rPr>
            </w:pPr>
          </w:p>
        </w:tc>
        <w:tc>
          <w:tcPr>
            <w:tcW w:w="1912"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p>
        </w:tc>
        <w:tc>
          <w:tcPr>
            <w:tcW w:w="158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sz w:val="18"/>
                <w:szCs w:val="18"/>
              </w:rPr>
            </w:pPr>
          </w:p>
        </w:tc>
        <w:tc>
          <w:tcPr>
            <w:tcW w:w="528" w:type="pct"/>
            <w:vMerge w:val="continue"/>
            <w:tcBorders>
              <w:top w:val="nil"/>
              <w:left w:val="single" w:color="auto" w:sz="8" w:space="0"/>
              <w:bottom w:val="single" w:color="000000" w:sz="8" w:space="0"/>
              <w:right w:val="single" w:color="auto" w:sz="8" w:space="0"/>
            </w:tcBorders>
            <w:vAlign w:val="center"/>
          </w:tcPr>
          <w:p>
            <w:pPr>
              <w:widowControl/>
              <w:jc w:val="left"/>
              <w:rPr>
                <w:rFonts w:ascii="Calibri" w:hAnsi="Calibri" w:cs="宋体"/>
                <w:color w:val="000000"/>
                <w:sz w:val="18"/>
                <w:szCs w:val="18"/>
              </w:rPr>
            </w:pP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3</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服务贸易数据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世界贸易组织、部委和地方商务系统数据；细分行业数据；各大网站文章；各企业发布信息；</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4</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对外投资合作数据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联合国贸发会议、部委和地方商务系统数据；细分行业数据；各大网站文章；各企业发布信息；</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5</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重点企业数据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世界</w:t>
            </w:r>
            <w:r>
              <w:rPr>
                <w:rFonts w:ascii="Calibri" w:hAnsi="Calibri" w:cs="宋体"/>
                <w:color w:val="000000"/>
                <w:sz w:val="18"/>
                <w:szCs w:val="18"/>
              </w:rPr>
              <w:t>500</w:t>
            </w:r>
            <w:r>
              <w:rPr>
                <w:rFonts w:hint="eastAsia" w:ascii="宋体" w:hAnsi="宋体" w:cs="宋体"/>
                <w:color w:val="000000"/>
                <w:sz w:val="18"/>
                <w:szCs w:val="18"/>
              </w:rPr>
              <w:t>强数据；各企业门户网站和财经网站公开数据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690"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6</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自贸区数据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部委和地方商务系统数据；细分行业数据；各大网站文章；各企业发布信息；不同区域不同年度经济运行数据、相关领域主要企业经营数据。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7</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“一带一路”国别数据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根据实际需求增加</w:t>
            </w:r>
          </w:p>
        </w:tc>
        <w:tc>
          <w:tcPr>
            <w:tcW w:w="1581" w:type="pct"/>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color w:val="000000"/>
                <w:sz w:val="18"/>
                <w:szCs w:val="18"/>
              </w:rPr>
            </w:pPr>
            <w:r>
              <w:rPr>
                <w:rFonts w:hint="eastAsia" w:ascii="宋体" w:hAnsi="宋体" w:cs="宋体"/>
                <w:color w:val="000000"/>
                <w:sz w:val="18"/>
                <w:szCs w:val="18"/>
              </w:rPr>
              <w:t>https://www.yidaiyilu.gov.cn/；http://www.ydylcn.com/skwx_ydyl/sublibrary?SiteID=1&amp;ID=8721</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8</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微信公众号文章</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收集微信公众号里有用的文章或报告</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微信“COI工作群”里转发的研究性文章</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9</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统计年鉴</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统计局统计年鉴</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把买的资料，电子版上传入库</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10</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政府工作报告</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来自各政府网站</w:t>
            </w:r>
            <w:r>
              <w:rPr>
                <w:rFonts w:ascii="Calibri" w:hAnsi="Calibri" w:cs="宋体"/>
                <w:color w:val="000000"/>
                <w:sz w:val="18"/>
                <w:szCs w:val="18"/>
              </w:rPr>
              <w:t xml:space="preserve"> – </w:t>
            </w:r>
            <w:r>
              <w:rPr>
                <w:rFonts w:hint="eastAsia" w:ascii="宋体" w:hAnsi="宋体" w:cs="宋体"/>
                <w:color w:val="000000"/>
                <w:sz w:val="18"/>
                <w:szCs w:val="18"/>
              </w:rPr>
              <w:t>政府年度工作报告</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国务院、各省（直辖市）及服贸创新试点城市、31个服务外包示范城市的政府工作报告。不过，公共的也查得到，也可以不要。</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690"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11</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国家和各省市相关统计公报</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来自各政府网站、统计局</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国务院、各省（直辖市）及服贸创新试点城市、31个服务外包示范城市的政府工作报告。不过，公共的也查得到，也可以不要。</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12</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外商投资数据</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不同区域不同年度经济运行数据、相关领域主要企业经营数据。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r>
        <w:tblPrEx>
          <w:tblCellMar>
            <w:top w:w="0" w:type="dxa"/>
            <w:left w:w="108" w:type="dxa"/>
            <w:bottom w:w="0" w:type="dxa"/>
            <w:right w:w="108" w:type="dxa"/>
          </w:tblCellMar>
        </w:tblPrEx>
        <w:trPr>
          <w:trHeight w:val="495" w:hRule="atLeast"/>
        </w:trPr>
        <w:tc>
          <w:tcPr>
            <w:tcW w:w="229" w:type="pct"/>
            <w:tcBorders>
              <w:top w:val="nil"/>
              <w:left w:val="single" w:color="auto" w:sz="8" w:space="0"/>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13</w:t>
            </w:r>
          </w:p>
        </w:tc>
        <w:tc>
          <w:tcPr>
            <w:tcW w:w="750"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数字贸易</w:t>
            </w:r>
          </w:p>
        </w:tc>
        <w:tc>
          <w:tcPr>
            <w:tcW w:w="1912"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不同区域不同年度经济运行数据、相关领域主要企业经营数据。</w:t>
            </w:r>
          </w:p>
        </w:tc>
        <w:tc>
          <w:tcPr>
            <w:tcW w:w="1581"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sz w:val="18"/>
                <w:szCs w:val="18"/>
              </w:rPr>
            </w:pPr>
            <w:r>
              <w:rPr>
                <w:rFonts w:hint="eastAsia" w:ascii="宋体" w:hAnsi="宋体" w:cs="宋体"/>
                <w:color w:val="000000"/>
                <w:sz w:val="18"/>
                <w:szCs w:val="18"/>
              </w:rPr>
              <w:t>甲方后续提供详细资料或来源</w:t>
            </w:r>
          </w:p>
        </w:tc>
        <w:tc>
          <w:tcPr>
            <w:tcW w:w="528" w:type="pct"/>
            <w:tcBorders>
              <w:top w:val="nil"/>
              <w:left w:val="nil"/>
              <w:bottom w:val="single" w:color="auto" w:sz="8" w:space="0"/>
              <w:right w:val="single" w:color="auto" w:sz="8" w:space="0"/>
            </w:tcBorders>
            <w:shd w:val="clear" w:color="auto" w:fill="auto"/>
            <w:vAlign w:val="center"/>
          </w:tcPr>
          <w:p>
            <w:pPr>
              <w:widowControl/>
              <w:rPr>
                <w:rFonts w:ascii="Calibri" w:hAnsi="Calibri" w:cs="宋体"/>
                <w:color w:val="000000"/>
                <w:sz w:val="18"/>
                <w:szCs w:val="18"/>
              </w:rPr>
            </w:pPr>
            <w:r>
              <w:rPr>
                <w:rFonts w:ascii="Calibri" w:hAnsi="Calibri" w:cs="宋体"/>
                <w:color w:val="000000"/>
                <w:sz w:val="18"/>
                <w:szCs w:val="18"/>
              </w:rPr>
              <w:t>Excel/PDF/Word/</w:t>
            </w:r>
            <w:r>
              <w:rPr>
                <w:rFonts w:hint="eastAsia" w:ascii="宋体" w:hAnsi="宋体" w:cs="宋体"/>
                <w:color w:val="000000"/>
                <w:sz w:val="18"/>
                <w:szCs w:val="18"/>
              </w:rPr>
              <w:t>文章</w:t>
            </w:r>
          </w:p>
        </w:tc>
      </w:tr>
    </w:tbl>
    <w:p>
      <w:pPr>
        <w:spacing w:line="360" w:lineRule="auto"/>
        <w:ind w:firstLine="444" w:firstLineChars="185"/>
        <w:outlineLvl w:val="0"/>
        <w:rPr>
          <w:rFonts w:ascii="宋体" w:hAnsi="宋体" w:cs="宋体"/>
          <w:sz w:val="24"/>
        </w:rPr>
      </w:pPr>
    </w:p>
    <w:p>
      <w:pPr>
        <w:widowControl/>
        <w:jc w:val="left"/>
        <w:rPr>
          <w:b/>
          <w:kern w:val="44"/>
          <w:sz w:val="36"/>
          <w:szCs w:val="36"/>
        </w:rPr>
      </w:pPr>
      <w:bookmarkStart w:id="16" w:name="_Toc20022"/>
      <w:bookmarkStart w:id="17" w:name="_Toc11981"/>
      <w:bookmarkStart w:id="18" w:name="_Toc7015"/>
      <w:bookmarkStart w:id="19" w:name="_Toc360700826"/>
    </w:p>
    <w:p>
      <w:pPr>
        <w:pStyle w:val="2"/>
        <w:adjustRightInd w:val="0"/>
        <w:snapToGrid w:val="0"/>
        <w:spacing w:before="0" w:after="0" w:line="240" w:lineRule="auto"/>
        <w:jc w:val="center"/>
        <w:rPr>
          <w:sz w:val="36"/>
          <w:szCs w:val="36"/>
        </w:rPr>
      </w:pPr>
      <w:r>
        <w:rPr>
          <w:rFonts w:hint="eastAsia"/>
          <w:sz w:val="36"/>
          <w:szCs w:val="36"/>
        </w:rPr>
        <w:t>评分细则</w:t>
      </w:r>
      <w:bookmarkEnd w:id="16"/>
      <w:bookmarkEnd w:id="17"/>
      <w:bookmarkEnd w:id="18"/>
    </w:p>
    <w:p>
      <w:pPr>
        <w:widowControl/>
        <w:rPr>
          <w:b/>
          <w:bCs/>
          <w:sz w:val="24"/>
          <w:szCs w:val="24"/>
        </w:rPr>
      </w:pPr>
    </w:p>
    <w:p>
      <w:pPr>
        <w:widowControl/>
        <w:rPr>
          <w:b/>
          <w:bCs/>
          <w:sz w:val="24"/>
          <w:szCs w:val="24"/>
        </w:rPr>
      </w:pPr>
      <w:r>
        <w:rPr>
          <w:rFonts w:hint="eastAsia"/>
          <w:b/>
          <w:bCs/>
          <w:sz w:val="24"/>
          <w:szCs w:val="24"/>
        </w:rPr>
        <w:t>一、</w:t>
      </w:r>
      <w:r>
        <w:rPr>
          <w:rFonts w:hint="eastAsia" w:ascii="宋体" w:hAnsi="宋体" w:cs="仿宋"/>
          <w:b/>
          <w:bCs/>
          <w:sz w:val="24"/>
          <w:szCs w:val="24"/>
        </w:rPr>
        <w:t>价格部分 10分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900"/>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11"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评分项</w:t>
            </w:r>
          </w:p>
        </w:tc>
        <w:tc>
          <w:tcPr>
            <w:tcW w:w="6900" w:type="dxa"/>
            <w:tcBorders>
              <w:top w:val="single" w:color="auto" w:sz="4" w:space="0"/>
              <w:left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评分标准</w:t>
            </w:r>
          </w:p>
        </w:tc>
        <w:tc>
          <w:tcPr>
            <w:tcW w:w="788"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311"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价格分</w:t>
            </w:r>
          </w:p>
        </w:tc>
        <w:tc>
          <w:tcPr>
            <w:tcW w:w="6900" w:type="dxa"/>
            <w:tcBorders>
              <w:top w:val="single" w:color="auto" w:sz="4" w:space="0"/>
              <w:left w:val="single" w:color="auto" w:sz="4" w:space="0"/>
              <w:right w:val="single" w:color="auto" w:sz="4" w:space="0"/>
            </w:tcBorders>
            <w:vAlign w:val="center"/>
          </w:tcPr>
          <w:p>
            <w:pPr>
              <w:widowControl/>
              <w:adjustRightInd w:val="0"/>
              <w:snapToGrid w:val="0"/>
              <w:spacing w:line="300" w:lineRule="auto"/>
              <w:rPr>
                <w:rFonts w:ascii="宋体" w:hAnsi="宋体" w:cs="宋体"/>
                <w:sz w:val="24"/>
                <w:szCs w:val="24"/>
              </w:rPr>
            </w:pPr>
            <w:r>
              <w:rPr>
                <w:rFonts w:hint="eastAsia" w:ascii="宋体" w:hAnsi="宋体" w:cs="宋体"/>
                <w:sz w:val="24"/>
                <w:szCs w:val="24"/>
              </w:rPr>
              <w:t>满足参选文件要求且价格最低的参选报价为评标基准价，其价格分为满分。其他参选人的价格分统一按照下列公式计算：</w:t>
            </w:r>
          </w:p>
          <w:p>
            <w:pPr>
              <w:widowControl/>
              <w:adjustRightInd w:val="0"/>
              <w:snapToGrid w:val="0"/>
              <w:spacing w:line="300" w:lineRule="auto"/>
              <w:rPr>
                <w:rFonts w:ascii="宋体" w:hAnsi="宋体" w:cs="宋体"/>
                <w:sz w:val="24"/>
                <w:szCs w:val="24"/>
              </w:rPr>
            </w:pPr>
            <w:r>
              <w:rPr>
                <w:rFonts w:hint="eastAsia" w:ascii="宋体" w:hAnsi="宋体" w:cs="宋体"/>
                <w:sz w:val="24"/>
                <w:szCs w:val="24"/>
              </w:rPr>
              <w:t>参选报价得分=（评标基准价÷参选报价)×10分</w:t>
            </w:r>
          </w:p>
          <w:p>
            <w:pPr>
              <w:adjustRightInd w:val="0"/>
              <w:snapToGrid w:val="0"/>
              <w:spacing w:line="300" w:lineRule="auto"/>
              <w:rPr>
                <w:rFonts w:ascii="宋体" w:hAnsi="宋体" w:cs="仿宋"/>
                <w:bCs/>
                <w:sz w:val="21"/>
                <w:szCs w:val="21"/>
              </w:rPr>
            </w:pPr>
            <w:r>
              <w:rPr>
                <w:rFonts w:hint="eastAsia" w:ascii="宋体" w:hAnsi="宋体" w:cs="宋体"/>
                <w:sz w:val="24"/>
                <w:szCs w:val="24"/>
                <w:highlight w:val="yellow"/>
              </w:rPr>
              <w:t>对小型和微型企业产品的价格给予6%的扣除，用扣除后的价格参与评审。参选人需符合注解1的要求。</w:t>
            </w:r>
          </w:p>
        </w:tc>
        <w:tc>
          <w:tcPr>
            <w:tcW w:w="788"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10</w:t>
            </w:r>
          </w:p>
        </w:tc>
      </w:tr>
    </w:tbl>
    <w:p/>
    <w:p>
      <w:pPr>
        <w:rPr>
          <w:b/>
          <w:bCs/>
          <w:sz w:val="24"/>
          <w:szCs w:val="24"/>
        </w:rPr>
      </w:pPr>
    </w:p>
    <w:p>
      <w:pPr>
        <w:rPr>
          <w:b/>
          <w:bCs/>
          <w:sz w:val="24"/>
          <w:szCs w:val="24"/>
        </w:rPr>
      </w:pPr>
      <w:r>
        <w:rPr>
          <w:rFonts w:hint="eastAsia"/>
          <w:b/>
          <w:bCs/>
          <w:sz w:val="24"/>
          <w:szCs w:val="24"/>
        </w:rPr>
        <w:t xml:space="preserve">二、商务部分 </w:t>
      </w:r>
      <w:r>
        <w:rPr>
          <w:rFonts w:hint="eastAsia" w:ascii="宋体" w:hAnsi="宋体" w:cs="仿宋"/>
          <w:b/>
          <w:bCs/>
          <w:sz w:val="24"/>
          <w:szCs w:val="24"/>
        </w:rPr>
        <w:t>30分</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1311"/>
        <w:gridCol w:w="5836"/>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1.资质</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实力</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（10分）</w:t>
            </w:r>
          </w:p>
        </w:tc>
        <w:tc>
          <w:tcPr>
            <w:tcW w:w="1311"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1.1参选人</w:t>
            </w:r>
          </w:p>
          <w:p>
            <w:pPr>
              <w:adjustRightInd w:val="0"/>
              <w:snapToGrid w:val="0"/>
              <w:spacing w:line="300" w:lineRule="auto"/>
              <w:jc w:val="center"/>
              <w:rPr>
                <w:rFonts w:ascii="宋体" w:hAnsi="宋体" w:cs="宋体"/>
                <w:sz w:val="24"/>
                <w:szCs w:val="24"/>
              </w:rPr>
            </w:pPr>
            <w:r>
              <w:rPr>
                <w:rFonts w:hint="eastAsia" w:ascii="宋体" w:hAnsi="宋体" w:cs="宋体"/>
                <w:sz w:val="24"/>
                <w:szCs w:val="24"/>
              </w:rPr>
              <w:t>资质</w:t>
            </w:r>
          </w:p>
        </w:tc>
        <w:tc>
          <w:tcPr>
            <w:tcW w:w="5836" w:type="dxa"/>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根据参选人获得的认证情况评分：每获得一项国际认证得3分，每获得一项国内认证得2分，满分6分。</w:t>
            </w:r>
          </w:p>
          <w:p>
            <w:pPr>
              <w:adjustRightInd w:val="0"/>
              <w:snapToGrid w:val="0"/>
              <w:spacing w:line="300" w:lineRule="auto"/>
              <w:rPr>
                <w:rFonts w:ascii="宋体" w:hAnsi="宋体" w:cs="宋体"/>
                <w:b/>
                <w:sz w:val="24"/>
                <w:szCs w:val="24"/>
              </w:rPr>
            </w:pPr>
            <w:r>
              <w:rPr>
                <w:rFonts w:hint="eastAsia" w:ascii="宋体" w:hAnsi="宋体" w:cs="宋体"/>
                <w:bCs/>
                <w:sz w:val="24"/>
                <w:szCs w:val="24"/>
              </w:rPr>
              <w:t>注：参选人需提供资质证书复印件予以证明。</w:t>
            </w:r>
            <w:r>
              <w:rPr>
                <w:rFonts w:hint="eastAsia" w:ascii="宋体" w:hAnsi="宋体" w:cs="宋体"/>
                <w:b/>
                <w:sz w:val="24"/>
                <w:szCs w:val="24"/>
              </w:rPr>
              <w:t xml:space="preserve"> </w:t>
            </w:r>
          </w:p>
        </w:tc>
        <w:tc>
          <w:tcPr>
            <w:tcW w:w="788" w:type="dxa"/>
            <w:tcBorders>
              <w:top w:val="single" w:color="auto" w:sz="4" w:space="0"/>
              <w:left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continue"/>
            <w:tcBorders>
              <w:left w:val="single" w:color="auto" w:sz="4" w:space="0"/>
              <w:bottom w:val="single" w:color="auto" w:sz="4" w:space="0"/>
              <w:right w:val="single" w:color="auto" w:sz="4" w:space="0"/>
            </w:tcBorders>
            <w:vAlign w:val="center"/>
          </w:tcPr>
          <w:p>
            <w:pPr>
              <w:widowControl/>
              <w:adjustRightInd w:val="0"/>
              <w:snapToGrid w:val="0"/>
              <w:spacing w:line="300" w:lineRule="auto"/>
              <w:rPr>
                <w:rFonts w:ascii="宋体" w:hAnsi="宋体" w:cs="宋体"/>
                <w:b/>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1.2参选人</w:t>
            </w:r>
          </w:p>
          <w:p>
            <w:pPr>
              <w:adjustRightInd w:val="0"/>
              <w:snapToGrid w:val="0"/>
              <w:spacing w:line="300" w:lineRule="auto"/>
              <w:jc w:val="center"/>
              <w:rPr>
                <w:rFonts w:ascii="宋体" w:hAnsi="宋体" w:cs="宋体"/>
                <w:sz w:val="24"/>
                <w:szCs w:val="24"/>
              </w:rPr>
            </w:pPr>
            <w:r>
              <w:rPr>
                <w:rFonts w:hint="eastAsia" w:ascii="宋体" w:hAnsi="宋体" w:cs="宋体"/>
                <w:sz w:val="24"/>
                <w:szCs w:val="24"/>
              </w:rPr>
              <w:t>获奖情况</w:t>
            </w: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根据参选人获得的与本项目建设内容相关的奖项评分：每获得一个国际奖项得4分，每获得一个国内奖项得2分，满分4分。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注：参选人需提供获奖复印件予以证明。</w:t>
            </w:r>
          </w:p>
        </w:tc>
        <w:tc>
          <w:tcPr>
            <w:tcW w:w="7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b/>
                <w:sz w:val="24"/>
                <w:szCs w:val="24"/>
              </w:rPr>
            </w:pPr>
            <w:r>
              <w:rPr>
                <w:rFonts w:hint="eastAsia"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restart"/>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2.业绩</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部分</w:t>
            </w:r>
          </w:p>
          <w:p>
            <w:pPr>
              <w:widowControl/>
              <w:adjustRightInd w:val="0"/>
              <w:snapToGrid w:val="0"/>
              <w:spacing w:line="300" w:lineRule="auto"/>
              <w:jc w:val="center"/>
              <w:rPr>
                <w:rFonts w:ascii="宋体" w:hAnsi="宋体" w:cs="宋体"/>
                <w:bCs/>
                <w:sz w:val="24"/>
                <w:szCs w:val="24"/>
              </w:rPr>
            </w:pPr>
            <w:r>
              <w:rPr>
                <w:rFonts w:hint="eastAsia" w:ascii="宋体" w:hAnsi="宋体" w:cs="宋体"/>
                <w:bCs/>
                <w:sz w:val="24"/>
                <w:szCs w:val="24"/>
              </w:rPr>
              <w:t>（20分）</w:t>
            </w:r>
          </w:p>
        </w:tc>
        <w:tc>
          <w:tcPr>
            <w:tcW w:w="1311"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2.1参选人业绩</w:t>
            </w:r>
          </w:p>
        </w:tc>
        <w:tc>
          <w:tcPr>
            <w:tcW w:w="5836" w:type="dxa"/>
            <w:tcBorders>
              <w:top w:val="single" w:color="auto" w:sz="4" w:space="0"/>
              <w:left w:val="single" w:color="auto" w:sz="4" w:space="0"/>
              <w:right w:val="single" w:color="auto" w:sz="4" w:space="0"/>
            </w:tcBorders>
            <w:vAlign w:val="center"/>
          </w:tcPr>
          <w:p>
            <w:pPr>
              <w:adjustRightInd w:val="0"/>
              <w:snapToGrid w:val="0"/>
              <w:spacing w:line="300" w:lineRule="auto"/>
              <w:rPr>
                <w:rFonts w:ascii="宋体" w:hAnsi="宋体" w:cs="宋体"/>
                <w:sz w:val="24"/>
                <w:szCs w:val="24"/>
              </w:rPr>
            </w:pPr>
            <w:r>
              <w:rPr>
                <w:rFonts w:hint="eastAsia" w:ascii="宋体" w:hAnsi="宋体" w:cs="宋体"/>
                <w:bCs/>
                <w:sz w:val="24"/>
                <w:szCs w:val="24"/>
              </w:rPr>
              <w:t>2012年至今，</w:t>
            </w:r>
            <w:r>
              <w:rPr>
                <w:rFonts w:hint="eastAsia" w:ascii="宋体" w:hAnsi="宋体" w:cs="宋体"/>
                <w:sz w:val="24"/>
                <w:szCs w:val="24"/>
              </w:rPr>
              <w:t>参选人每承担过1个类似项目得2分，最高10分。</w:t>
            </w:r>
          </w:p>
          <w:p>
            <w:pPr>
              <w:adjustRightInd w:val="0"/>
              <w:snapToGrid w:val="0"/>
              <w:spacing w:line="300" w:lineRule="auto"/>
              <w:rPr>
                <w:rFonts w:ascii="宋体" w:hAnsi="宋体" w:cs="宋体"/>
                <w:sz w:val="24"/>
                <w:szCs w:val="24"/>
              </w:rPr>
            </w:pPr>
            <w:r>
              <w:rPr>
                <w:rFonts w:hint="eastAsia" w:ascii="宋体" w:hAnsi="宋体" w:cs="宋体"/>
                <w:sz w:val="24"/>
                <w:szCs w:val="24"/>
              </w:rPr>
              <w:t>注：“类似项目”是指数据中心或数据仓库的建设或运维项目、网站的开发或运维项目(下同)。</w:t>
            </w:r>
          </w:p>
          <w:p>
            <w:pPr>
              <w:adjustRightInd w:val="0"/>
              <w:snapToGrid w:val="0"/>
              <w:spacing w:line="300" w:lineRule="auto"/>
              <w:rPr>
                <w:rFonts w:ascii="宋体" w:hAnsi="宋体" w:cs="宋体"/>
                <w:sz w:val="24"/>
                <w:szCs w:val="24"/>
              </w:rPr>
            </w:pPr>
            <w:r>
              <w:rPr>
                <w:rFonts w:hint="eastAsia" w:ascii="宋体" w:hAnsi="宋体" w:cs="宋体"/>
                <w:sz w:val="24"/>
                <w:szCs w:val="24"/>
              </w:rPr>
              <w:t>参选人需提供类似项目对应</w:t>
            </w:r>
            <w:r>
              <w:rPr>
                <w:rFonts w:hint="eastAsia" w:ascii="宋体" w:hAnsi="宋体" w:cs="宋体"/>
                <w:kern w:val="21"/>
                <w:sz w:val="24"/>
                <w:szCs w:val="24"/>
              </w:rPr>
              <w:t>合同首页、金额页、及相关信息页复印件并加盖公章</w:t>
            </w:r>
            <w:r>
              <w:rPr>
                <w:rFonts w:hint="eastAsia" w:ascii="宋体" w:hAnsi="宋体" w:cs="宋体"/>
                <w:sz w:val="24"/>
                <w:szCs w:val="24"/>
              </w:rPr>
              <w:t>（下同）。</w:t>
            </w:r>
          </w:p>
        </w:tc>
        <w:tc>
          <w:tcPr>
            <w:tcW w:w="788" w:type="dxa"/>
            <w:tcBorders>
              <w:top w:val="single" w:color="auto" w:sz="4" w:space="0"/>
              <w:left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continue"/>
            <w:tcBorders>
              <w:left w:val="single" w:color="auto" w:sz="4" w:space="0"/>
              <w:right w:val="single" w:color="auto" w:sz="4" w:space="0"/>
            </w:tcBorders>
            <w:vAlign w:val="center"/>
          </w:tcPr>
          <w:p>
            <w:pPr>
              <w:widowControl/>
              <w:adjustRightInd w:val="0"/>
              <w:snapToGrid w:val="0"/>
              <w:spacing w:line="300" w:lineRule="auto"/>
              <w:rPr>
                <w:rFonts w:ascii="宋体" w:hAnsi="宋体" w:cs="宋体"/>
                <w:bCs/>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sz w:val="24"/>
                <w:szCs w:val="24"/>
              </w:rPr>
            </w:pPr>
            <w:r>
              <w:rPr>
                <w:rFonts w:hint="eastAsia" w:ascii="宋体" w:hAnsi="宋体" w:cs="宋体"/>
                <w:sz w:val="24"/>
                <w:szCs w:val="24"/>
              </w:rPr>
              <w:t>2.2项目经理业绩</w:t>
            </w: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近2012年至今，项目经理每承担过1个类似项目得2分，最高4分。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注：参选人需提供相关证明材料。</w:t>
            </w:r>
          </w:p>
        </w:tc>
        <w:tc>
          <w:tcPr>
            <w:tcW w:w="7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宋体" w:hAnsi="宋体" w:cs="宋体"/>
                <w:bCs/>
                <w:sz w:val="24"/>
                <w:szCs w:val="24"/>
              </w:rPr>
            </w:pPr>
            <w:r>
              <w:rPr>
                <w:rFonts w:hint="eastAsia"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vMerge w:val="continue"/>
            <w:tcBorders>
              <w:left w:val="single" w:color="auto" w:sz="4" w:space="0"/>
              <w:right w:val="single" w:color="auto" w:sz="4" w:space="0"/>
            </w:tcBorders>
            <w:vAlign w:val="center"/>
          </w:tcPr>
          <w:p>
            <w:pPr>
              <w:widowControl/>
              <w:adjustRightInd w:val="0"/>
              <w:snapToGrid w:val="0"/>
              <w:spacing w:line="300" w:lineRule="auto"/>
              <w:rPr>
                <w:rFonts w:ascii="宋体" w:hAnsi="宋体" w:cs="宋体"/>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sz w:val="24"/>
                <w:szCs w:val="24"/>
              </w:rPr>
              <w:t>2.3项目团队成员业绩</w:t>
            </w: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项目团队中应有项目经理和产品经理。主要成员具有3年以上工作经验的人数比例不低于2/3，得6分，低于2/3但不少于1/2得4分，少于1/2得2分。</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sz w:val="24"/>
                <w:szCs w:val="24"/>
              </w:rPr>
            </w:pPr>
            <w:r>
              <w:rPr>
                <w:rFonts w:hint="eastAsia" w:ascii="宋体" w:hAnsi="宋体" w:cs="宋体"/>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057" w:type="dxa"/>
            <w:tcBorders>
              <w:left w:val="single" w:color="auto" w:sz="4" w:space="0"/>
              <w:bottom w:val="single" w:color="auto" w:sz="4" w:space="0"/>
              <w:right w:val="single" w:color="auto" w:sz="4" w:space="0"/>
            </w:tcBorders>
            <w:vAlign w:val="center"/>
          </w:tcPr>
          <w:p>
            <w:pPr>
              <w:widowControl/>
              <w:adjustRightInd w:val="0"/>
              <w:snapToGrid w:val="0"/>
              <w:spacing w:line="300" w:lineRule="auto"/>
              <w:rPr>
                <w:rFonts w:ascii="宋体" w:hAnsi="宋体" w:cs="宋体"/>
                <w:b/>
                <w:sz w:val="24"/>
                <w:szCs w:val="24"/>
              </w:rPr>
            </w:pPr>
          </w:p>
        </w:tc>
        <w:tc>
          <w:tcPr>
            <w:tcW w:w="13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sz w:val="24"/>
                <w:szCs w:val="24"/>
              </w:rPr>
            </w:pPr>
          </w:p>
        </w:tc>
        <w:tc>
          <w:tcPr>
            <w:tcW w:w="58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right"/>
              <w:rPr>
                <w:rFonts w:ascii="宋体" w:hAnsi="宋体" w:cs="宋体"/>
                <w:b/>
                <w:sz w:val="24"/>
                <w:szCs w:val="24"/>
              </w:rPr>
            </w:pPr>
            <w:r>
              <w:rPr>
                <w:rFonts w:hint="eastAsia" w:ascii="宋体" w:hAnsi="宋体" w:cs="宋体"/>
                <w:b/>
                <w:sz w:val="24"/>
                <w:szCs w:val="24"/>
              </w:rPr>
              <w:t>小计</w:t>
            </w:r>
          </w:p>
        </w:tc>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auto"/>
              <w:jc w:val="center"/>
              <w:rPr>
                <w:rFonts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=SUM(ABOVE) \* MERGEFORMAT </w:instrText>
            </w:r>
            <w:r>
              <w:rPr>
                <w:rFonts w:hint="eastAsia" w:ascii="宋体" w:hAnsi="宋体" w:cs="宋体"/>
                <w:b/>
                <w:sz w:val="24"/>
                <w:szCs w:val="24"/>
              </w:rPr>
              <w:fldChar w:fldCharType="separate"/>
            </w:r>
            <w:r>
              <w:rPr>
                <w:rFonts w:hint="eastAsia" w:ascii="宋体" w:hAnsi="宋体" w:cs="宋体"/>
                <w:b/>
                <w:sz w:val="24"/>
                <w:szCs w:val="24"/>
              </w:rPr>
              <w:t>30</w:t>
            </w:r>
            <w:r>
              <w:rPr>
                <w:rFonts w:hint="eastAsia" w:ascii="宋体" w:hAnsi="宋体" w:cs="宋体"/>
                <w:b/>
                <w:sz w:val="24"/>
                <w:szCs w:val="24"/>
              </w:rPr>
              <w:fldChar w:fldCharType="end"/>
            </w:r>
          </w:p>
        </w:tc>
      </w:tr>
    </w:tbl>
    <w:p>
      <w:pPr>
        <w:rPr>
          <w:rFonts w:ascii="宋体" w:hAnsi="宋体" w:cs="宋体"/>
          <w:b/>
          <w:bCs/>
          <w:sz w:val="24"/>
          <w:szCs w:val="24"/>
        </w:rPr>
      </w:pPr>
      <w:r>
        <w:rPr>
          <w:rFonts w:hint="eastAsia" w:ascii="宋体" w:hAnsi="宋体" w:cs="宋体"/>
          <w:b/>
          <w:bCs/>
          <w:sz w:val="24"/>
          <w:szCs w:val="24"/>
        </w:rPr>
        <w:t>三、技术部分 60分</w:t>
      </w:r>
    </w:p>
    <w:tbl>
      <w:tblPr>
        <w:tblStyle w:val="6"/>
        <w:tblW w:w="0" w:type="auto"/>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72"/>
        <w:gridCol w:w="1281"/>
        <w:gridCol w:w="5726"/>
        <w:gridCol w:w="7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评分项</w:t>
            </w:r>
          </w:p>
        </w:tc>
        <w:tc>
          <w:tcPr>
            <w:tcW w:w="7007" w:type="dxa"/>
            <w:gridSpan w:val="2"/>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评分标准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3.对项目的理解</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（5分）</w:t>
            </w:r>
          </w:p>
        </w:tc>
        <w:tc>
          <w:tcPr>
            <w:tcW w:w="7007" w:type="dxa"/>
            <w:gridSpan w:val="2"/>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（1）对项目的意义和需求用理解深刻5-4分；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（2）对项目的意义和需求理解较深刻3-2分；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（3）对项目的意义和需求理解一般1分。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tcBorders>
              <w:top w:val="single" w:color="auto" w:sz="4" w:space="0"/>
            </w:tcBorders>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4.项目需求总体响应情况</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（15分）</w:t>
            </w:r>
          </w:p>
        </w:tc>
        <w:tc>
          <w:tcPr>
            <w:tcW w:w="7007" w:type="dxa"/>
            <w:gridSpan w:val="2"/>
            <w:vAlign w:val="center"/>
          </w:tcPr>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4.1 项目需求总体响应情况</w:t>
            </w:r>
          </w:p>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（1）项目方案的内容全面、对本项目服务需求的需求分析，实施方式等有详细的阐述，能提供符合需求的较好解决方案的，得15-12分；</w:t>
            </w:r>
          </w:p>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（2）项目方案的内容尚可、对本项目服务需求的需求分析，实施方式、解决方案阐述较一般的得11-6分；</w:t>
            </w:r>
          </w:p>
          <w:p>
            <w:pPr>
              <w:adjustRightInd w:val="0"/>
              <w:snapToGrid w:val="0"/>
              <w:spacing w:line="300" w:lineRule="auto"/>
              <w:jc w:val="left"/>
              <w:rPr>
                <w:rFonts w:ascii="宋体" w:hAnsi="宋体" w:cs="宋体"/>
                <w:bCs/>
                <w:sz w:val="24"/>
                <w:szCs w:val="24"/>
              </w:rPr>
            </w:pPr>
            <w:r>
              <w:rPr>
                <w:rFonts w:hint="eastAsia" w:ascii="宋体" w:hAnsi="宋体" w:cs="宋体"/>
                <w:bCs/>
                <w:sz w:val="24"/>
                <w:szCs w:val="24"/>
              </w:rPr>
              <w:t>（3）项目方案的内容不全、对本项目服务需求的需求分析，实施方式，解决方案阐述较不充分的得5-1分。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restart"/>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5.项目实施</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（30分）</w:t>
            </w:r>
          </w:p>
        </w:tc>
        <w:tc>
          <w:tcPr>
            <w:tcW w:w="1281"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5.1实施方案与进度计划</w:t>
            </w: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sz w:val="24"/>
                <w:szCs w:val="24"/>
              </w:rPr>
              <w:t>实施方案全面、合理、可行，</w:t>
            </w:r>
            <w:r>
              <w:rPr>
                <w:rFonts w:hint="eastAsia" w:ascii="宋体" w:hAnsi="宋体" w:cs="宋体"/>
                <w:bCs/>
                <w:sz w:val="24"/>
                <w:szCs w:val="24"/>
              </w:rPr>
              <w:t>进度计划满足比选文件的进度要求，并且给出能按照计划完成的理由和依据。综合比较在0-10分之间评分。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较好：10-8分，一般：7-4分，有欠缺：3-1分。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Merge w:val="restart"/>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5.2技术支持与服务</w:t>
            </w: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5.2.1 服务标准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Merge w:val="continue"/>
            <w:vAlign w:val="center"/>
          </w:tcPr>
          <w:p>
            <w:pPr>
              <w:adjustRightInd w:val="0"/>
              <w:snapToGrid w:val="0"/>
              <w:spacing w:line="300" w:lineRule="auto"/>
              <w:jc w:val="center"/>
              <w:rPr>
                <w:rFonts w:ascii="宋体" w:hAnsi="宋体" w:cs="宋体"/>
                <w:bCs/>
                <w:sz w:val="24"/>
                <w:szCs w:val="24"/>
              </w:rPr>
            </w:pP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5.2.2 服务流程</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Merge w:val="continue"/>
            <w:vAlign w:val="center"/>
          </w:tcPr>
          <w:p>
            <w:pPr>
              <w:adjustRightInd w:val="0"/>
              <w:snapToGrid w:val="0"/>
              <w:spacing w:line="300" w:lineRule="auto"/>
              <w:jc w:val="center"/>
              <w:rPr>
                <w:rFonts w:ascii="宋体" w:hAnsi="宋体" w:cs="宋体"/>
                <w:bCs/>
                <w:sz w:val="24"/>
                <w:szCs w:val="24"/>
              </w:rPr>
            </w:pP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5.2.3 服务内容</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Merge w:val="continue"/>
            <w:vAlign w:val="center"/>
          </w:tcPr>
          <w:p>
            <w:pPr>
              <w:adjustRightInd w:val="0"/>
              <w:snapToGrid w:val="0"/>
              <w:spacing w:line="300" w:lineRule="auto"/>
              <w:jc w:val="center"/>
              <w:rPr>
                <w:rFonts w:ascii="宋体" w:hAnsi="宋体" w:cs="宋体"/>
                <w:bCs/>
                <w:sz w:val="24"/>
                <w:szCs w:val="24"/>
              </w:rPr>
            </w:pPr>
          </w:p>
        </w:tc>
        <w:tc>
          <w:tcPr>
            <w:tcW w:w="1281"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5.3培训方案</w:t>
            </w:r>
          </w:p>
        </w:tc>
        <w:tc>
          <w:tcPr>
            <w:tcW w:w="5726" w:type="dxa"/>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包括培训时间、培训地点、培训标准、培训课程安排等内容</w:t>
            </w:r>
            <w:r>
              <w:rPr>
                <w:rFonts w:hint="eastAsia" w:ascii="宋体" w:hAnsi="宋体" w:cs="宋体"/>
                <w:sz w:val="24"/>
                <w:szCs w:val="24"/>
              </w:rPr>
              <w:t>满足用户要求。</w:t>
            </w:r>
            <w:r>
              <w:rPr>
                <w:rFonts w:hint="eastAsia" w:ascii="宋体" w:hAnsi="宋体" w:cs="宋体"/>
                <w:bCs/>
                <w:sz w:val="24"/>
                <w:szCs w:val="24"/>
              </w:rPr>
              <w:t>综合比较在0-5分之间评分。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较好：5-4分，一般：3-2分，有欠缺：1分。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6.技术支持与服务保障</w:t>
            </w:r>
          </w:p>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（10分）</w:t>
            </w:r>
          </w:p>
        </w:tc>
        <w:tc>
          <w:tcPr>
            <w:tcW w:w="7007" w:type="dxa"/>
            <w:gridSpan w:val="2"/>
            <w:vAlign w:val="center"/>
          </w:tcPr>
          <w:p>
            <w:pPr>
              <w:adjustRightInd w:val="0"/>
              <w:snapToGrid w:val="0"/>
              <w:spacing w:line="300" w:lineRule="auto"/>
              <w:rPr>
                <w:rFonts w:ascii="宋体" w:hAnsi="宋体" w:cs="宋体"/>
                <w:bCs/>
                <w:sz w:val="24"/>
                <w:szCs w:val="24"/>
              </w:rPr>
            </w:pPr>
            <w:r>
              <w:rPr>
                <w:rFonts w:hint="eastAsia" w:ascii="宋体" w:hAnsi="宋体" w:cs="宋体"/>
                <w:bCs/>
                <w:sz w:val="24"/>
                <w:szCs w:val="24"/>
              </w:rPr>
              <w:t>（1）技术支持与服务保障措施完善合理，具有完善的技术支持和服务体系，有较强可操作性得10-8分；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（2）技术支持与服务保障措施尚可，具有技术支持，可操作性一般，得7-4分；</w:t>
            </w:r>
          </w:p>
          <w:p>
            <w:pPr>
              <w:adjustRightInd w:val="0"/>
              <w:snapToGrid w:val="0"/>
              <w:spacing w:line="300" w:lineRule="auto"/>
              <w:rPr>
                <w:rFonts w:ascii="宋体" w:hAnsi="宋体" w:cs="宋体"/>
                <w:bCs/>
                <w:sz w:val="24"/>
                <w:szCs w:val="24"/>
              </w:rPr>
            </w:pPr>
            <w:r>
              <w:rPr>
                <w:rFonts w:hint="eastAsia" w:ascii="宋体" w:hAnsi="宋体" w:cs="宋体"/>
                <w:bCs/>
                <w:sz w:val="24"/>
                <w:szCs w:val="24"/>
              </w:rPr>
              <w:t>（3）技术支持与服务保障措施不全，可操作性差得3-1分。</w:t>
            </w:r>
          </w:p>
        </w:tc>
        <w:tc>
          <w:tcPr>
            <w:tcW w:w="739" w:type="dxa"/>
            <w:vAlign w:val="center"/>
          </w:tcPr>
          <w:p>
            <w:pPr>
              <w:adjustRightInd w:val="0"/>
              <w:snapToGrid w:val="0"/>
              <w:spacing w:line="300" w:lineRule="auto"/>
              <w:jc w:val="center"/>
              <w:rPr>
                <w:rFonts w:ascii="宋体" w:hAnsi="宋体" w:cs="宋体"/>
                <w:bCs/>
                <w:sz w:val="24"/>
                <w:szCs w:val="24"/>
              </w:rPr>
            </w:pPr>
            <w:r>
              <w:rPr>
                <w:rFonts w:hint="eastAsia" w:ascii="宋体" w:hAnsi="宋体" w:cs="宋体"/>
                <w:bCs/>
                <w:sz w:val="24"/>
                <w:szCs w:val="24"/>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3" w:hRule="atLeast"/>
        </w:trPr>
        <w:tc>
          <w:tcPr>
            <w:tcW w:w="1172" w:type="dxa"/>
            <w:vAlign w:val="center"/>
          </w:tcPr>
          <w:p>
            <w:pPr>
              <w:adjustRightInd w:val="0"/>
              <w:snapToGrid w:val="0"/>
              <w:spacing w:line="300" w:lineRule="auto"/>
              <w:jc w:val="center"/>
              <w:rPr>
                <w:rFonts w:ascii="宋体" w:hAnsi="宋体" w:cs="宋体"/>
                <w:b/>
                <w:sz w:val="24"/>
                <w:szCs w:val="24"/>
              </w:rPr>
            </w:pPr>
          </w:p>
        </w:tc>
        <w:tc>
          <w:tcPr>
            <w:tcW w:w="7007" w:type="dxa"/>
            <w:gridSpan w:val="2"/>
            <w:vAlign w:val="center"/>
          </w:tcPr>
          <w:p>
            <w:pPr>
              <w:adjustRightInd w:val="0"/>
              <w:snapToGrid w:val="0"/>
              <w:spacing w:line="300" w:lineRule="auto"/>
              <w:jc w:val="right"/>
              <w:rPr>
                <w:rFonts w:ascii="宋体" w:hAnsi="宋体" w:cs="宋体"/>
                <w:b/>
                <w:sz w:val="24"/>
                <w:szCs w:val="24"/>
              </w:rPr>
            </w:pPr>
            <w:r>
              <w:rPr>
                <w:rFonts w:hint="eastAsia" w:ascii="宋体" w:hAnsi="宋体" w:cs="宋体"/>
                <w:b/>
                <w:sz w:val="24"/>
                <w:szCs w:val="24"/>
              </w:rPr>
              <w:t>小计</w:t>
            </w:r>
          </w:p>
        </w:tc>
        <w:tc>
          <w:tcPr>
            <w:tcW w:w="739" w:type="dxa"/>
            <w:vAlign w:val="center"/>
          </w:tcPr>
          <w:p>
            <w:pPr>
              <w:adjustRightInd w:val="0"/>
              <w:snapToGrid w:val="0"/>
              <w:spacing w:line="300" w:lineRule="auto"/>
              <w:jc w:val="center"/>
              <w:rPr>
                <w:rFonts w:ascii="宋体" w:hAnsi="宋体" w:cs="宋体"/>
                <w:b/>
                <w:sz w:val="24"/>
                <w:szCs w:val="24"/>
              </w:rPr>
            </w:pPr>
            <w:r>
              <w:rPr>
                <w:rFonts w:hint="eastAsia" w:ascii="宋体" w:hAnsi="宋体" w:cs="宋体"/>
                <w:b/>
                <w:sz w:val="24"/>
                <w:szCs w:val="24"/>
              </w:rPr>
              <w:fldChar w:fldCharType="begin"/>
            </w:r>
            <w:r>
              <w:rPr>
                <w:rFonts w:hint="eastAsia" w:ascii="宋体" w:hAnsi="宋体" w:cs="宋体"/>
                <w:b/>
                <w:sz w:val="24"/>
                <w:szCs w:val="24"/>
              </w:rPr>
              <w:instrText xml:space="preserve"> =SUM(ABOVE) \* MERGEFORMAT </w:instrText>
            </w:r>
            <w:r>
              <w:rPr>
                <w:rFonts w:hint="eastAsia" w:ascii="宋体" w:hAnsi="宋体" w:cs="宋体"/>
                <w:b/>
                <w:sz w:val="24"/>
                <w:szCs w:val="24"/>
              </w:rPr>
              <w:fldChar w:fldCharType="separate"/>
            </w:r>
            <w:r>
              <w:rPr>
                <w:rFonts w:hint="eastAsia" w:ascii="宋体" w:hAnsi="宋体" w:cs="宋体"/>
                <w:b/>
                <w:sz w:val="24"/>
                <w:szCs w:val="24"/>
              </w:rPr>
              <w:t>60</w:t>
            </w:r>
            <w:r>
              <w:rPr>
                <w:rFonts w:hint="eastAsia" w:ascii="宋体" w:hAnsi="宋体" w:cs="宋体"/>
                <w:b/>
                <w:sz w:val="24"/>
                <w:szCs w:val="24"/>
              </w:rPr>
              <w:fldChar w:fldCharType="end"/>
            </w:r>
          </w:p>
        </w:tc>
      </w:tr>
    </w:tbl>
    <w:p>
      <w:pPr>
        <w:adjustRightInd w:val="0"/>
        <w:snapToGrid w:val="0"/>
        <w:rPr>
          <w:rFonts w:ascii="宋体" w:hAnsi="宋体" w:cs="宋体"/>
          <w:sz w:val="21"/>
          <w:szCs w:val="24"/>
        </w:rPr>
      </w:pPr>
      <w:r>
        <w:rPr>
          <w:rFonts w:hint="eastAsia" w:ascii="宋体" w:hAnsi="宋体" w:cs="宋体"/>
          <w:sz w:val="21"/>
          <w:szCs w:val="24"/>
        </w:rPr>
        <w:t>注解1.若参选人属于小型或微型企业（简称：小微企业），应按比选文件要求提供小微企业声明函及相关证明材料。小微企业及其所供产品应符合财政部《政府采购促进中小企业发展暂行办法》规定和参选要求</w:t>
      </w:r>
      <w:r>
        <w:rPr>
          <w:rFonts w:hint="eastAsia" w:ascii="宋体" w:hAnsi="宋体" w:cs="宋体"/>
          <w:sz w:val="21"/>
          <w:szCs w:val="24"/>
          <w:highlight w:val="yellow"/>
        </w:rPr>
        <w:t>，</w:t>
      </w:r>
      <w:r>
        <w:rPr>
          <w:rFonts w:hint="eastAsia" w:ascii="宋体" w:hAnsi="宋体" w:cs="宋体"/>
          <w:b/>
          <w:sz w:val="21"/>
          <w:szCs w:val="24"/>
          <w:highlight w:val="yellow"/>
        </w:rPr>
        <w:t>并按上述文件要求提供中小企业声明函及相关证明材料</w:t>
      </w:r>
      <w:r>
        <w:rPr>
          <w:rFonts w:hint="eastAsia" w:ascii="宋体" w:hAnsi="宋体" w:cs="宋体"/>
          <w:sz w:val="21"/>
          <w:szCs w:val="24"/>
          <w:highlight w:val="yellow"/>
        </w:rPr>
        <w:t>；</w:t>
      </w:r>
      <w:r>
        <w:rPr>
          <w:rFonts w:hint="eastAsia" w:ascii="宋体" w:hAnsi="宋体" w:cs="宋体"/>
          <w:sz w:val="21"/>
          <w:szCs w:val="24"/>
        </w:rPr>
        <w:t>同时必须在报价单中单独列出所供小微型企业产品单价和总价。若提供的证明材料不能充分证明是小微型企业产品，且无对应的单独报价，则在评标时对该部分产品的评标优惠不予考虑。</w:t>
      </w:r>
    </w:p>
    <w:p>
      <w:pPr>
        <w:rPr>
          <w:rFonts w:ascii="宋体" w:hAnsi="宋体" w:cs="宋体"/>
          <w:sz w:val="21"/>
          <w:szCs w:val="24"/>
        </w:rPr>
      </w:pPr>
    </w:p>
    <w:p>
      <w:pPr>
        <w:rPr>
          <w:rFonts w:ascii="宋体" w:hAnsi="宋体" w:cs="宋体"/>
          <w:b/>
          <w:sz w:val="21"/>
          <w:szCs w:val="24"/>
        </w:rPr>
      </w:pPr>
      <w:r>
        <w:rPr>
          <w:rFonts w:hint="eastAsia" w:ascii="宋体" w:hAnsi="宋体" w:cs="宋体"/>
          <w:sz w:val="21"/>
          <w:szCs w:val="24"/>
        </w:rPr>
        <w:t>注解2.除非有特殊情况，各参选人的最终得分按四舍五入精确到小数点后2位</w:t>
      </w:r>
      <w:bookmarkEnd w:id="19"/>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pStyle w:val="14"/>
      <w:lvlText w:val="%1、"/>
      <w:lvlJc w:val="left"/>
      <w:pPr>
        <w:tabs>
          <w:tab w:val="left" w:pos="432"/>
        </w:tabs>
        <w:ind w:left="432" w:hanging="432"/>
      </w:pPr>
      <w:rPr>
        <w:rFonts w:ascii="宋体" w:hAnsi="宋体" w:eastAsia="宋体" w:cs="宋体"/>
      </w:rPr>
    </w:lvl>
    <w:lvl w:ilvl="1" w:tentative="0">
      <w:start w:val="1"/>
      <w:numFmt w:val="decimal"/>
      <w:lvlText w:val="%1.%2"/>
      <w:lvlJc w:val="left"/>
      <w:pPr>
        <w:tabs>
          <w:tab w:val="left" w:pos="576"/>
        </w:tabs>
        <w:ind w:left="576" w:hanging="576"/>
      </w:pPr>
      <w:rPr>
        <w:rFonts w:hint="default" w:ascii="Times New Roman" w:hAnsi="Times New Roman" w:cs="Times New Roman"/>
      </w:rPr>
    </w:lvl>
    <w:lvl w:ilvl="2" w:tentative="0">
      <w:start w:val="1"/>
      <w:numFmt w:val="decimal"/>
      <w:lvlText w:val="%1.%2.%3"/>
      <w:lvlJc w:val="left"/>
      <w:pPr>
        <w:tabs>
          <w:tab w:val="left" w:pos="720"/>
        </w:tabs>
        <w:ind w:left="720" w:hanging="720"/>
      </w:pPr>
      <w:rPr>
        <w:rFonts w:hint="default" w:ascii="Times New Roman" w:hAnsi="Times New Roman" w:cs="Times New Roman"/>
      </w:rPr>
    </w:lvl>
    <w:lvl w:ilvl="3" w:tentative="0">
      <w:start w:val="1"/>
      <w:numFmt w:val="decimal"/>
      <w:lvlText w:val="%1.%2.%3.%4"/>
      <w:lvlJc w:val="left"/>
      <w:pPr>
        <w:tabs>
          <w:tab w:val="left" w:pos="864"/>
        </w:tabs>
        <w:ind w:left="864"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1F1A288C"/>
    <w:multiLevelType w:val="singleLevel"/>
    <w:tmpl w:val="1F1A288C"/>
    <w:lvl w:ilvl="0" w:tentative="0">
      <w:start w:val="4"/>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4A"/>
    <w:rsid w:val="00002536"/>
    <w:rsid w:val="000128DA"/>
    <w:rsid w:val="00022014"/>
    <w:rsid w:val="00024998"/>
    <w:rsid w:val="00026F62"/>
    <w:rsid w:val="00033888"/>
    <w:rsid w:val="000365A3"/>
    <w:rsid w:val="00042FB3"/>
    <w:rsid w:val="00043988"/>
    <w:rsid w:val="000538EA"/>
    <w:rsid w:val="00055D67"/>
    <w:rsid w:val="00060B63"/>
    <w:rsid w:val="00075B09"/>
    <w:rsid w:val="000816AA"/>
    <w:rsid w:val="00081D92"/>
    <w:rsid w:val="000833F3"/>
    <w:rsid w:val="00093BC4"/>
    <w:rsid w:val="00096036"/>
    <w:rsid w:val="000A4CDE"/>
    <w:rsid w:val="000B4C82"/>
    <w:rsid w:val="000B7C89"/>
    <w:rsid w:val="000D0157"/>
    <w:rsid w:val="000D1D1E"/>
    <w:rsid w:val="000E0F5F"/>
    <w:rsid w:val="000F6306"/>
    <w:rsid w:val="000F6C41"/>
    <w:rsid w:val="00102499"/>
    <w:rsid w:val="00104181"/>
    <w:rsid w:val="00107DAD"/>
    <w:rsid w:val="00110811"/>
    <w:rsid w:val="00110A67"/>
    <w:rsid w:val="001208F4"/>
    <w:rsid w:val="00122419"/>
    <w:rsid w:val="0013066E"/>
    <w:rsid w:val="00132869"/>
    <w:rsid w:val="001459C8"/>
    <w:rsid w:val="0015014B"/>
    <w:rsid w:val="00153898"/>
    <w:rsid w:val="00156830"/>
    <w:rsid w:val="00164473"/>
    <w:rsid w:val="001644EA"/>
    <w:rsid w:val="00164C3F"/>
    <w:rsid w:val="00170C7C"/>
    <w:rsid w:val="00177D46"/>
    <w:rsid w:val="00182D13"/>
    <w:rsid w:val="00185840"/>
    <w:rsid w:val="00190F3A"/>
    <w:rsid w:val="001974B8"/>
    <w:rsid w:val="001A6722"/>
    <w:rsid w:val="001A7B11"/>
    <w:rsid w:val="001B1CF1"/>
    <w:rsid w:val="001B24CB"/>
    <w:rsid w:val="001B2D8D"/>
    <w:rsid w:val="001B5C34"/>
    <w:rsid w:val="001D197B"/>
    <w:rsid w:val="001D6D5D"/>
    <w:rsid w:val="001E2A7F"/>
    <w:rsid w:val="001E71D5"/>
    <w:rsid w:val="001F084A"/>
    <w:rsid w:val="001F77ED"/>
    <w:rsid w:val="00200E6D"/>
    <w:rsid w:val="00200F9D"/>
    <w:rsid w:val="00214487"/>
    <w:rsid w:val="002206B1"/>
    <w:rsid w:val="002209A4"/>
    <w:rsid w:val="00222BAB"/>
    <w:rsid w:val="002244A8"/>
    <w:rsid w:val="00233153"/>
    <w:rsid w:val="002401F7"/>
    <w:rsid w:val="00242272"/>
    <w:rsid w:val="00244AB3"/>
    <w:rsid w:val="00244C65"/>
    <w:rsid w:val="00245B60"/>
    <w:rsid w:val="00257FCD"/>
    <w:rsid w:val="002628FD"/>
    <w:rsid w:val="00265ADD"/>
    <w:rsid w:val="00266EC0"/>
    <w:rsid w:val="00281E8B"/>
    <w:rsid w:val="00285770"/>
    <w:rsid w:val="002A2B45"/>
    <w:rsid w:val="002B27DB"/>
    <w:rsid w:val="002B764B"/>
    <w:rsid w:val="002C2083"/>
    <w:rsid w:val="002C5895"/>
    <w:rsid w:val="002D0B6F"/>
    <w:rsid w:val="002D21DA"/>
    <w:rsid w:val="002E494A"/>
    <w:rsid w:val="002E535E"/>
    <w:rsid w:val="002F1313"/>
    <w:rsid w:val="002F1801"/>
    <w:rsid w:val="0030164B"/>
    <w:rsid w:val="00302442"/>
    <w:rsid w:val="00313AB8"/>
    <w:rsid w:val="00314158"/>
    <w:rsid w:val="0032210C"/>
    <w:rsid w:val="003227BE"/>
    <w:rsid w:val="00326967"/>
    <w:rsid w:val="0033010B"/>
    <w:rsid w:val="00341300"/>
    <w:rsid w:val="003467C2"/>
    <w:rsid w:val="0034713A"/>
    <w:rsid w:val="003750E0"/>
    <w:rsid w:val="00377961"/>
    <w:rsid w:val="00381110"/>
    <w:rsid w:val="003901A6"/>
    <w:rsid w:val="003935EF"/>
    <w:rsid w:val="00394206"/>
    <w:rsid w:val="003A7603"/>
    <w:rsid w:val="003B57B3"/>
    <w:rsid w:val="003B5CFB"/>
    <w:rsid w:val="003C1055"/>
    <w:rsid w:val="003D74BB"/>
    <w:rsid w:val="003E2377"/>
    <w:rsid w:val="003E5E58"/>
    <w:rsid w:val="003F57E1"/>
    <w:rsid w:val="00402B6E"/>
    <w:rsid w:val="0041223D"/>
    <w:rsid w:val="00415B85"/>
    <w:rsid w:val="0041627E"/>
    <w:rsid w:val="004220EF"/>
    <w:rsid w:val="00422F54"/>
    <w:rsid w:val="00444205"/>
    <w:rsid w:val="004462F0"/>
    <w:rsid w:val="00454425"/>
    <w:rsid w:val="00464775"/>
    <w:rsid w:val="00464C4B"/>
    <w:rsid w:val="0046555A"/>
    <w:rsid w:val="00467DF3"/>
    <w:rsid w:val="00477CA2"/>
    <w:rsid w:val="00483A67"/>
    <w:rsid w:val="0048630B"/>
    <w:rsid w:val="00490D35"/>
    <w:rsid w:val="00492F44"/>
    <w:rsid w:val="00494261"/>
    <w:rsid w:val="004A0F98"/>
    <w:rsid w:val="004A4ECF"/>
    <w:rsid w:val="004A64D9"/>
    <w:rsid w:val="004C3889"/>
    <w:rsid w:val="004C4F4B"/>
    <w:rsid w:val="004D1896"/>
    <w:rsid w:val="004D1F7D"/>
    <w:rsid w:val="004D6F56"/>
    <w:rsid w:val="004D7583"/>
    <w:rsid w:val="004E27CB"/>
    <w:rsid w:val="005031A8"/>
    <w:rsid w:val="005048D6"/>
    <w:rsid w:val="0050740B"/>
    <w:rsid w:val="00516290"/>
    <w:rsid w:val="0051692E"/>
    <w:rsid w:val="00521FF6"/>
    <w:rsid w:val="00522D32"/>
    <w:rsid w:val="00523921"/>
    <w:rsid w:val="00525A50"/>
    <w:rsid w:val="0053486D"/>
    <w:rsid w:val="005370B4"/>
    <w:rsid w:val="00540B9C"/>
    <w:rsid w:val="005412E3"/>
    <w:rsid w:val="00543DA4"/>
    <w:rsid w:val="00556E99"/>
    <w:rsid w:val="005570F1"/>
    <w:rsid w:val="00560D53"/>
    <w:rsid w:val="005705A9"/>
    <w:rsid w:val="0057276D"/>
    <w:rsid w:val="005841E9"/>
    <w:rsid w:val="00586244"/>
    <w:rsid w:val="0058644C"/>
    <w:rsid w:val="0058732E"/>
    <w:rsid w:val="00587673"/>
    <w:rsid w:val="005877DF"/>
    <w:rsid w:val="00591A9D"/>
    <w:rsid w:val="005937D7"/>
    <w:rsid w:val="00595051"/>
    <w:rsid w:val="005A23C2"/>
    <w:rsid w:val="005A2FC3"/>
    <w:rsid w:val="005A469C"/>
    <w:rsid w:val="005B19F4"/>
    <w:rsid w:val="005D033E"/>
    <w:rsid w:val="005D36DE"/>
    <w:rsid w:val="005D6329"/>
    <w:rsid w:val="005F2DFC"/>
    <w:rsid w:val="005F640A"/>
    <w:rsid w:val="00604AAA"/>
    <w:rsid w:val="00612F3D"/>
    <w:rsid w:val="006271FF"/>
    <w:rsid w:val="00634FEC"/>
    <w:rsid w:val="006414C1"/>
    <w:rsid w:val="00651F71"/>
    <w:rsid w:val="006549F7"/>
    <w:rsid w:val="00656F52"/>
    <w:rsid w:val="00660EC9"/>
    <w:rsid w:val="006623FA"/>
    <w:rsid w:val="00662E90"/>
    <w:rsid w:val="00663CC7"/>
    <w:rsid w:val="00670CED"/>
    <w:rsid w:val="00671E07"/>
    <w:rsid w:val="0067393C"/>
    <w:rsid w:val="006742CB"/>
    <w:rsid w:val="00683A8F"/>
    <w:rsid w:val="006855BB"/>
    <w:rsid w:val="006A023E"/>
    <w:rsid w:val="006B2416"/>
    <w:rsid w:val="006B4144"/>
    <w:rsid w:val="006B594A"/>
    <w:rsid w:val="006C2CC8"/>
    <w:rsid w:val="006C31A0"/>
    <w:rsid w:val="006C3F8C"/>
    <w:rsid w:val="006D2DEF"/>
    <w:rsid w:val="006D7AAF"/>
    <w:rsid w:val="006E49C1"/>
    <w:rsid w:val="006E5F12"/>
    <w:rsid w:val="006E7E75"/>
    <w:rsid w:val="006F2D11"/>
    <w:rsid w:val="00716CB8"/>
    <w:rsid w:val="007236B2"/>
    <w:rsid w:val="00723796"/>
    <w:rsid w:val="007264CD"/>
    <w:rsid w:val="007311D1"/>
    <w:rsid w:val="00740ECF"/>
    <w:rsid w:val="00741284"/>
    <w:rsid w:val="00741E80"/>
    <w:rsid w:val="00742CB0"/>
    <w:rsid w:val="00745562"/>
    <w:rsid w:val="007538C8"/>
    <w:rsid w:val="007565F7"/>
    <w:rsid w:val="00771DE1"/>
    <w:rsid w:val="007770CF"/>
    <w:rsid w:val="00783A3A"/>
    <w:rsid w:val="0078658A"/>
    <w:rsid w:val="00787E4C"/>
    <w:rsid w:val="007923F1"/>
    <w:rsid w:val="007943CA"/>
    <w:rsid w:val="00796C44"/>
    <w:rsid w:val="00796F7B"/>
    <w:rsid w:val="007972CA"/>
    <w:rsid w:val="007A3F12"/>
    <w:rsid w:val="007B5994"/>
    <w:rsid w:val="007D1482"/>
    <w:rsid w:val="007D1DBB"/>
    <w:rsid w:val="007D6BAE"/>
    <w:rsid w:val="007D7658"/>
    <w:rsid w:val="007E228E"/>
    <w:rsid w:val="007E2638"/>
    <w:rsid w:val="007E34DB"/>
    <w:rsid w:val="007F43AE"/>
    <w:rsid w:val="007F47FC"/>
    <w:rsid w:val="007F605F"/>
    <w:rsid w:val="007F617B"/>
    <w:rsid w:val="007F6BC3"/>
    <w:rsid w:val="00800CBC"/>
    <w:rsid w:val="00805757"/>
    <w:rsid w:val="00806F9C"/>
    <w:rsid w:val="00810AEE"/>
    <w:rsid w:val="00813AB2"/>
    <w:rsid w:val="0081486D"/>
    <w:rsid w:val="00817259"/>
    <w:rsid w:val="00823A82"/>
    <w:rsid w:val="00825738"/>
    <w:rsid w:val="008330CC"/>
    <w:rsid w:val="00833A06"/>
    <w:rsid w:val="008470F2"/>
    <w:rsid w:val="00847150"/>
    <w:rsid w:val="008471A7"/>
    <w:rsid w:val="00854C17"/>
    <w:rsid w:val="008701CF"/>
    <w:rsid w:val="008724CE"/>
    <w:rsid w:val="0087569D"/>
    <w:rsid w:val="00880144"/>
    <w:rsid w:val="00884DFF"/>
    <w:rsid w:val="00893F64"/>
    <w:rsid w:val="008961AB"/>
    <w:rsid w:val="008A4172"/>
    <w:rsid w:val="008B24F2"/>
    <w:rsid w:val="008B541E"/>
    <w:rsid w:val="008C2C76"/>
    <w:rsid w:val="008D07B7"/>
    <w:rsid w:val="008D2589"/>
    <w:rsid w:val="008D2903"/>
    <w:rsid w:val="008D3C1F"/>
    <w:rsid w:val="008E0EE6"/>
    <w:rsid w:val="008E179A"/>
    <w:rsid w:val="008E6D0F"/>
    <w:rsid w:val="008F0A61"/>
    <w:rsid w:val="008F20EA"/>
    <w:rsid w:val="008F667A"/>
    <w:rsid w:val="00912DB6"/>
    <w:rsid w:val="00915331"/>
    <w:rsid w:val="00923075"/>
    <w:rsid w:val="00924004"/>
    <w:rsid w:val="009319FE"/>
    <w:rsid w:val="009369D1"/>
    <w:rsid w:val="009520EF"/>
    <w:rsid w:val="0096775C"/>
    <w:rsid w:val="00967A34"/>
    <w:rsid w:val="00970E95"/>
    <w:rsid w:val="00974249"/>
    <w:rsid w:val="009758F6"/>
    <w:rsid w:val="00980D06"/>
    <w:rsid w:val="00981448"/>
    <w:rsid w:val="00985B56"/>
    <w:rsid w:val="009A086A"/>
    <w:rsid w:val="009A69AF"/>
    <w:rsid w:val="009B094E"/>
    <w:rsid w:val="009B5A2F"/>
    <w:rsid w:val="009B659E"/>
    <w:rsid w:val="009C20A6"/>
    <w:rsid w:val="009C5240"/>
    <w:rsid w:val="009C6ED1"/>
    <w:rsid w:val="009D0997"/>
    <w:rsid w:val="009E60E2"/>
    <w:rsid w:val="009F10E5"/>
    <w:rsid w:val="009F1B50"/>
    <w:rsid w:val="009F216A"/>
    <w:rsid w:val="009F64EF"/>
    <w:rsid w:val="00A048A2"/>
    <w:rsid w:val="00A16A26"/>
    <w:rsid w:val="00A201D3"/>
    <w:rsid w:val="00A23808"/>
    <w:rsid w:val="00A24F99"/>
    <w:rsid w:val="00A25676"/>
    <w:rsid w:val="00A27709"/>
    <w:rsid w:val="00A3483F"/>
    <w:rsid w:val="00A36704"/>
    <w:rsid w:val="00A3766F"/>
    <w:rsid w:val="00A424BC"/>
    <w:rsid w:val="00A443FA"/>
    <w:rsid w:val="00A5140E"/>
    <w:rsid w:val="00A562F8"/>
    <w:rsid w:val="00A57099"/>
    <w:rsid w:val="00A57F7F"/>
    <w:rsid w:val="00A65BE3"/>
    <w:rsid w:val="00A71C8C"/>
    <w:rsid w:val="00A7756B"/>
    <w:rsid w:val="00A8222D"/>
    <w:rsid w:val="00A85A46"/>
    <w:rsid w:val="00A87684"/>
    <w:rsid w:val="00AA19DD"/>
    <w:rsid w:val="00AA3C23"/>
    <w:rsid w:val="00AA5E66"/>
    <w:rsid w:val="00AB2AD9"/>
    <w:rsid w:val="00AB4B10"/>
    <w:rsid w:val="00AC1288"/>
    <w:rsid w:val="00AC51AB"/>
    <w:rsid w:val="00AD4CA9"/>
    <w:rsid w:val="00AE66E4"/>
    <w:rsid w:val="00AE753B"/>
    <w:rsid w:val="00AF0E43"/>
    <w:rsid w:val="00AF7B4B"/>
    <w:rsid w:val="00B044D4"/>
    <w:rsid w:val="00B06937"/>
    <w:rsid w:val="00B21226"/>
    <w:rsid w:val="00B301FD"/>
    <w:rsid w:val="00B332CA"/>
    <w:rsid w:val="00B4393B"/>
    <w:rsid w:val="00B44CF7"/>
    <w:rsid w:val="00B47C1B"/>
    <w:rsid w:val="00B73B15"/>
    <w:rsid w:val="00B81F1E"/>
    <w:rsid w:val="00B82B18"/>
    <w:rsid w:val="00B873ED"/>
    <w:rsid w:val="00B87D3F"/>
    <w:rsid w:val="00BA5D00"/>
    <w:rsid w:val="00BB5F2B"/>
    <w:rsid w:val="00BC7075"/>
    <w:rsid w:val="00BD2004"/>
    <w:rsid w:val="00BD71D5"/>
    <w:rsid w:val="00BE4714"/>
    <w:rsid w:val="00BE785B"/>
    <w:rsid w:val="00BF24F0"/>
    <w:rsid w:val="00BF295A"/>
    <w:rsid w:val="00BF42D6"/>
    <w:rsid w:val="00BF590B"/>
    <w:rsid w:val="00C04063"/>
    <w:rsid w:val="00C05007"/>
    <w:rsid w:val="00C12899"/>
    <w:rsid w:val="00C17BE3"/>
    <w:rsid w:val="00C21561"/>
    <w:rsid w:val="00C24F43"/>
    <w:rsid w:val="00C27C9B"/>
    <w:rsid w:val="00C40ADE"/>
    <w:rsid w:val="00C646A5"/>
    <w:rsid w:val="00C67E5E"/>
    <w:rsid w:val="00C7176F"/>
    <w:rsid w:val="00C92265"/>
    <w:rsid w:val="00CA06BD"/>
    <w:rsid w:val="00CC03FD"/>
    <w:rsid w:val="00CC66D3"/>
    <w:rsid w:val="00CF43C2"/>
    <w:rsid w:val="00CF4725"/>
    <w:rsid w:val="00D25088"/>
    <w:rsid w:val="00D37995"/>
    <w:rsid w:val="00D413C8"/>
    <w:rsid w:val="00D52C9A"/>
    <w:rsid w:val="00D5343A"/>
    <w:rsid w:val="00D54035"/>
    <w:rsid w:val="00D61F79"/>
    <w:rsid w:val="00D81113"/>
    <w:rsid w:val="00D818FF"/>
    <w:rsid w:val="00D9280B"/>
    <w:rsid w:val="00DA3DC0"/>
    <w:rsid w:val="00DA3EC1"/>
    <w:rsid w:val="00DA7FCF"/>
    <w:rsid w:val="00DB00DA"/>
    <w:rsid w:val="00DB747E"/>
    <w:rsid w:val="00DB7B0D"/>
    <w:rsid w:val="00DC45DF"/>
    <w:rsid w:val="00DC62E8"/>
    <w:rsid w:val="00DD0E54"/>
    <w:rsid w:val="00DD61AA"/>
    <w:rsid w:val="00DE1497"/>
    <w:rsid w:val="00DE4053"/>
    <w:rsid w:val="00DF49F2"/>
    <w:rsid w:val="00E02F33"/>
    <w:rsid w:val="00E049A8"/>
    <w:rsid w:val="00E07368"/>
    <w:rsid w:val="00E1362E"/>
    <w:rsid w:val="00E14F10"/>
    <w:rsid w:val="00E24645"/>
    <w:rsid w:val="00E25571"/>
    <w:rsid w:val="00E31D2E"/>
    <w:rsid w:val="00E329E1"/>
    <w:rsid w:val="00E362F5"/>
    <w:rsid w:val="00E411BA"/>
    <w:rsid w:val="00E57359"/>
    <w:rsid w:val="00E63AC0"/>
    <w:rsid w:val="00E64129"/>
    <w:rsid w:val="00E643A5"/>
    <w:rsid w:val="00E6549B"/>
    <w:rsid w:val="00E7164E"/>
    <w:rsid w:val="00E80145"/>
    <w:rsid w:val="00E8612C"/>
    <w:rsid w:val="00EA0D90"/>
    <w:rsid w:val="00EA34E3"/>
    <w:rsid w:val="00EB2F63"/>
    <w:rsid w:val="00EB443F"/>
    <w:rsid w:val="00EB4A28"/>
    <w:rsid w:val="00EC1234"/>
    <w:rsid w:val="00EC1F3D"/>
    <w:rsid w:val="00ED3441"/>
    <w:rsid w:val="00EE118F"/>
    <w:rsid w:val="00EE3BA2"/>
    <w:rsid w:val="00EF0FF3"/>
    <w:rsid w:val="00EF4A8F"/>
    <w:rsid w:val="00EF57C9"/>
    <w:rsid w:val="00EF58E9"/>
    <w:rsid w:val="00F07C08"/>
    <w:rsid w:val="00F12205"/>
    <w:rsid w:val="00F26CC5"/>
    <w:rsid w:val="00F41DEA"/>
    <w:rsid w:val="00F41E31"/>
    <w:rsid w:val="00F52A3C"/>
    <w:rsid w:val="00F53E9D"/>
    <w:rsid w:val="00F61112"/>
    <w:rsid w:val="00F615F6"/>
    <w:rsid w:val="00F620FE"/>
    <w:rsid w:val="00F7296B"/>
    <w:rsid w:val="00F73442"/>
    <w:rsid w:val="00F777EA"/>
    <w:rsid w:val="00F77A2A"/>
    <w:rsid w:val="00F77A33"/>
    <w:rsid w:val="00F77DB1"/>
    <w:rsid w:val="00F8505C"/>
    <w:rsid w:val="00F9534D"/>
    <w:rsid w:val="00FA01AE"/>
    <w:rsid w:val="00FB002C"/>
    <w:rsid w:val="00FB04DB"/>
    <w:rsid w:val="00FB2C94"/>
    <w:rsid w:val="00FB655A"/>
    <w:rsid w:val="00FC104C"/>
    <w:rsid w:val="00FC117D"/>
    <w:rsid w:val="00FC5E70"/>
    <w:rsid w:val="00FE1A07"/>
    <w:rsid w:val="00FF24D1"/>
    <w:rsid w:val="00FF4B75"/>
    <w:rsid w:val="00FF5017"/>
    <w:rsid w:val="00FF54F5"/>
    <w:rsid w:val="00FF69E4"/>
    <w:rsid w:val="01475133"/>
    <w:rsid w:val="018F417F"/>
    <w:rsid w:val="01AB4D38"/>
    <w:rsid w:val="02122EAC"/>
    <w:rsid w:val="021E74E5"/>
    <w:rsid w:val="02435882"/>
    <w:rsid w:val="03557B20"/>
    <w:rsid w:val="040E2CFF"/>
    <w:rsid w:val="049112C2"/>
    <w:rsid w:val="05122D06"/>
    <w:rsid w:val="056F1387"/>
    <w:rsid w:val="058C5903"/>
    <w:rsid w:val="06064FCF"/>
    <w:rsid w:val="06090461"/>
    <w:rsid w:val="06AD6605"/>
    <w:rsid w:val="06FE43AB"/>
    <w:rsid w:val="07585F75"/>
    <w:rsid w:val="07CA22AE"/>
    <w:rsid w:val="07F22BAB"/>
    <w:rsid w:val="08523093"/>
    <w:rsid w:val="089374B6"/>
    <w:rsid w:val="08A93479"/>
    <w:rsid w:val="08B04A48"/>
    <w:rsid w:val="08D10F65"/>
    <w:rsid w:val="08ED1B32"/>
    <w:rsid w:val="09320036"/>
    <w:rsid w:val="0949300F"/>
    <w:rsid w:val="09802B1F"/>
    <w:rsid w:val="099738EC"/>
    <w:rsid w:val="09B12BD8"/>
    <w:rsid w:val="0A0D1A55"/>
    <w:rsid w:val="0A786F39"/>
    <w:rsid w:val="0AF933A7"/>
    <w:rsid w:val="0B4E3BEF"/>
    <w:rsid w:val="0B671D8F"/>
    <w:rsid w:val="0B6C680D"/>
    <w:rsid w:val="0C160662"/>
    <w:rsid w:val="0C2529EA"/>
    <w:rsid w:val="0C447A6D"/>
    <w:rsid w:val="0C6D5D71"/>
    <w:rsid w:val="0CA44FFC"/>
    <w:rsid w:val="0CFF01E7"/>
    <w:rsid w:val="0DC441A6"/>
    <w:rsid w:val="0DE50B1D"/>
    <w:rsid w:val="0E6328BB"/>
    <w:rsid w:val="0E6361E4"/>
    <w:rsid w:val="0E907829"/>
    <w:rsid w:val="0F0B4ED9"/>
    <w:rsid w:val="0F3D6A0E"/>
    <w:rsid w:val="0F4E2FCA"/>
    <w:rsid w:val="10034729"/>
    <w:rsid w:val="100D7244"/>
    <w:rsid w:val="104F4942"/>
    <w:rsid w:val="10832B04"/>
    <w:rsid w:val="10B705B0"/>
    <w:rsid w:val="10D818B0"/>
    <w:rsid w:val="10E047AD"/>
    <w:rsid w:val="10E83115"/>
    <w:rsid w:val="11153B98"/>
    <w:rsid w:val="11AA7F81"/>
    <w:rsid w:val="1226217A"/>
    <w:rsid w:val="124B33F0"/>
    <w:rsid w:val="124C3CDC"/>
    <w:rsid w:val="12615AE8"/>
    <w:rsid w:val="12B66DC5"/>
    <w:rsid w:val="12C62E34"/>
    <w:rsid w:val="134A3173"/>
    <w:rsid w:val="134F55F5"/>
    <w:rsid w:val="13776D59"/>
    <w:rsid w:val="138B0741"/>
    <w:rsid w:val="13944277"/>
    <w:rsid w:val="13A73BDD"/>
    <w:rsid w:val="13F06A5F"/>
    <w:rsid w:val="140A7EFB"/>
    <w:rsid w:val="147C3172"/>
    <w:rsid w:val="14EC7E5F"/>
    <w:rsid w:val="1514236D"/>
    <w:rsid w:val="151960D7"/>
    <w:rsid w:val="152462BA"/>
    <w:rsid w:val="15AF1FE4"/>
    <w:rsid w:val="162C6FD9"/>
    <w:rsid w:val="162F49D8"/>
    <w:rsid w:val="16CB359D"/>
    <w:rsid w:val="16E71EEF"/>
    <w:rsid w:val="176D44DC"/>
    <w:rsid w:val="178073A8"/>
    <w:rsid w:val="18171D20"/>
    <w:rsid w:val="185021CD"/>
    <w:rsid w:val="1919745D"/>
    <w:rsid w:val="19EF7AB6"/>
    <w:rsid w:val="1B282129"/>
    <w:rsid w:val="1B901E36"/>
    <w:rsid w:val="1BB242C9"/>
    <w:rsid w:val="1BDF2BCE"/>
    <w:rsid w:val="1C3265E1"/>
    <w:rsid w:val="1C641CFD"/>
    <w:rsid w:val="1C7C57B1"/>
    <w:rsid w:val="1CD07D3F"/>
    <w:rsid w:val="1CD64360"/>
    <w:rsid w:val="1CE76A39"/>
    <w:rsid w:val="1DA87732"/>
    <w:rsid w:val="1DD03848"/>
    <w:rsid w:val="1F2952CC"/>
    <w:rsid w:val="1FA257B4"/>
    <w:rsid w:val="1FD06B91"/>
    <w:rsid w:val="208C71C8"/>
    <w:rsid w:val="20DA46C0"/>
    <w:rsid w:val="210A1E29"/>
    <w:rsid w:val="2178143F"/>
    <w:rsid w:val="22117277"/>
    <w:rsid w:val="221640A1"/>
    <w:rsid w:val="221E07B8"/>
    <w:rsid w:val="22AC5193"/>
    <w:rsid w:val="233A0F99"/>
    <w:rsid w:val="236F4638"/>
    <w:rsid w:val="240971D2"/>
    <w:rsid w:val="24265E31"/>
    <w:rsid w:val="24F84239"/>
    <w:rsid w:val="25DA0413"/>
    <w:rsid w:val="25E6292F"/>
    <w:rsid w:val="25EF0B08"/>
    <w:rsid w:val="261D6574"/>
    <w:rsid w:val="28B40F46"/>
    <w:rsid w:val="28DF67A7"/>
    <w:rsid w:val="28EB44BE"/>
    <w:rsid w:val="28EE5D65"/>
    <w:rsid w:val="290D4AAC"/>
    <w:rsid w:val="29177D78"/>
    <w:rsid w:val="29473602"/>
    <w:rsid w:val="295A5CA1"/>
    <w:rsid w:val="298C2F81"/>
    <w:rsid w:val="29D61205"/>
    <w:rsid w:val="29ED5AE5"/>
    <w:rsid w:val="2A3B5C9B"/>
    <w:rsid w:val="2A3F5649"/>
    <w:rsid w:val="2BA93ED5"/>
    <w:rsid w:val="2C141871"/>
    <w:rsid w:val="2C3650D5"/>
    <w:rsid w:val="2D147E54"/>
    <w:rsid w:val="2D867197"/>
    <w:rsid w:val="2DAB0B6B"/>
    <w:rsid w:val="2E0939BD"/>
    <w:rsid w:val="2E35260C"/>
    <w:rsid w:val="2E5571D7"/>
    <w:rsid w:val="2EFE1DAD"/>
    <w:rsid w:val="2F986A0E"/>
    <w:rsid w:val="2FC17F32"/>
    <w:rsid w:val="30B17CCC"/>
    <w:rsid w:val="30C77C5F"/>
    <w:rsid w:val="30E679D7"/>
    <w:rsid w:val="30EF42FE"/>
    <w:rsid w:val="30FC56A4"/>
    <w:rsid w:val="316344F9"/>
    <w:rsid w:val="31D17B16"/>
    <w:rsid w:val="320D3B5F"/>
    <w:rsid w:val="32A94DBA"/>
    <w:rsid w:val="32C8467E"/>
    <w:rsid w:val="33286672"/>
    <w:rsid w:val="336F4D3A"/>
    <w:rsid w:val="33857A62"/>
    <w:rsid w:val="345C194A"/>
    <w:rsid w:val="349D7A72"/>
    <w:rsid w:val="34D72699"/>
    <w:rsid w:val="351141AB"/>
    <w:rsid w:val="359C2F26"/>
    <w:rsid w:val="35BB1BC5"/>
    <w:rsid w:val="360D7B4B"/>
    <w:rsid w:val="361748E6"/>
    <w:rsid w:val="36EB467B"/>
    <w:rsid w:val="378956F7"/>
    <w:rsid w:val="37963018"/>
    <w:rsid w:val="37B166D8"/>
    <w:rsid w:val="37E32B51"/>
    <w:rsid w:val="37E63359"/>
    <w:rsid w:val="382B572B"/>
    <w:rsid w:val="38BF760A"/>
    <w:rsid w:val="39D97268"/>
    <w:rsid w:val="39E12BC7"/>
    <w:rsid w:val="3A0F20E8"/>
    <w:rsid w:val="3A100DCE"/>
    <w:rsid w:val="3A9C66E2"/>
    <w:rsid w:val="3AAE712C"/>
    <w:rsid w:val="3B3E2853"/>
    <w:rsid w:val="3B400E1C"/>
    <w:rsid w:val="3BC045A7"/>
    <w:rsid w:val="3BFA105D"/>
    <w:rsid w:val="3CA61A6B"/>
    <w:rsid w:val="3CB73352"/>
    <w:rsid w:val="3CC920A5"/>
    <w:rsid w:val="3CCD3225"/>
    <w:rsid w:val="3D0404B0"/>
    <w:rsid w:val="3D272459"/>
    <w:rsid w:val="3D6A174D"/>
    <w:rsid w:val="3D756117"/>
    <w:rsid w:val="3E89776C"/>
    <w:rsid w:val="3EB6200D"/>
    <w:rsid w:val="3ECA27B0"/>
    <w:rsid w:val="3EF74B8B"/>
    <w:rsid w:val="406E1E08"/>
    <w:rsid w:val="406F490E"/>
    <w:rsid w:val="40E64016"/>
    <w:rsid w:val="4127450B"/>
    <w:rsid w:val="4142135F"/>
    <w:rsid w:val="4194326F"/>
    <w:rsid w:val="41F918F4"/>
    <w:rsid w:val="427224BD"/>
    <w:rsid w:val="43204060"/>
    <w:rsid w:val="43257D21"/>
    <w:rsid w:val="437847C8"/>
    <w:rsid w:val="43897C70"/>
    <w:rsid w:val="445A7956"/>
    <w:rsid w:val="447D4444"/>
    <w:rsid w:val="44A07C1D"/>
    <w:rsid w:val="44BC63D9"/>
    <w:rsid w:val="44E54CCE"/>
    <w:rsid w:val="44FB729A"/>
    <w:rsid w:val="45322BC0"/>
    <w:rsid w:val="4599449E"/>
    <w:rsid w:val="459B5C17"/>
    <w:rsid w:val="45AD24B5"/>
    <w:rsid w:val="46184B70"/>
    <w:rsid w:val="46863418"/>
    <w:rsid w:val="46AE501B"/>
    <w:rsid w:val="46F65B2D"/>
    <w:rsid w:val="4740070B"/>
    <w:rsid w:val="476930E4"/>
    <w:rsid w:val="47BC4E47"/>
    <w:rsid w:val="47D02D7A"/>
    <w:rsid w:val="47E02C86"/>
    <w:rsid w:val="482D529D"/>
    <w:rsid w:val="489756BD"/>
    <w:rsid w:val="48E70588"/>
    <w:rsid w:val="4905328E"/>
    <w:rsid w:val="49814AC3"/>
    <w:rsid w:val="4A163C12"/>
    <w:rsid w:val="4AB70907"/>
    <w:rsid w:val="4AD83DE1"/>
    <w:rsid w:val="4AF93EED"/>
    <w:rsid w:val="4BF7517B"/>
    <w:rsid w:val="4C0B5EEA"/>
    <w:rsid w:val="4C5F750D"/>
    <w:rsid w:val="4C6D3CB8"/>
    <w:rsid w:val="4CA063F5"/>
    <w:rsid w:val="4E2E3DBA"/>
    <w:rsid w:val="4E3E2EDB"/>
    <w:rsid w:val="4E66608F"/>
    <w:rsid w:val="4EFD553B"/>
    <w:rsid w:val="4F2B4AE2"/>
    <w:rsid w:val="4F475E66"/>
    <w:rsid w:val="4F707DF2"/>
    <w:rsid w:val="4F7A57FF"/>
    <w:rsid w:val="4FB41F19"/>
    <w:rsid w:val="4FC00C8E"/>
    <w:rsid w:val="508A349F"/>
    <w:rsid w:val="51114266"/>
    <w:rsid w:val="51583E85"/>
    <w:rsid w:val="51E14EF3"/>
    <w:rsid w:val="51F31946"/>
    <w:rsid w:val="520A5ED0"/>
    <w:rsid w:val="53156957"/>
    <w:rsid w:val="53D6307F"/>
    <w:rsid w:val="5429529E"/>
    <w:rsid w:val="54360738"/>
    <w:rsid w:val="552E3CAD"/>
    <w:rsid w:val="55313CDE"/>
    <w:rsid w:val="557E4077"/>
    <w:rsid w:val="55B15F33"/>
    <w:rsid w:val="56355798"/>
    <w:rsid w:val="56896E5E"/>
    <w:rsid w:val="56EA7E10"/>
    <w:rsid w:val="573A4208"/>
    <w:rsid w:val="573C68E5"/>
    <w:rsid w:val="57992830"/>
    <w:rsid w:val="58056149"/>
    <w:rsid w:val="580A0373"/>
    <w:rsid w:val="580C5CD4"/>
    <w:rsid w:val="580C75C7"/>
    <w:rsid w:val="580F5CDC"/>
    <w:rsid w:val="58154CF8"/>
    <w:rsid w:val="58200F87"/>
    <w:rsid w:val="58261332"/>
    <w:rsid w:val="58717087"/>
    <w:rsid w:val="5883509A"/>
    <w:rsid w:val="58EB36F3"/>
    <w:rsid w:val="591055A2"/>
    <w:rsid w:val="592E054C"/>
    <w:rsid w:val="5A2D5333"/>
    <w:rsid w:val="5A544D99"/>
    <w:rsid w:val="5BC209F8"/>
    <w:rsid w:val="5C056489"/>
    <w:rsid w:val="5C4109E6"/>
    <w:rsid w:val="5C930AA0"/>
    <w:rsid w:val="5D4F6BC7"/>
    <w:rsid w:val="5D52517B"/>
    <w:rsid w:val="5D7929D8"/>
    <w:rsid w:val="5DE61261"/>
    <w:rsid w:val="5E593B33"/>
    <w:rsid w:val="5E8B63E0"/>
    <w:rsid w:val="5E9E2E7F"/>
    <w:rsid w:val="5EEE5540"/>
    <w:rsid w:val="5EF10251"/>
    <w:rsid w:val="5EFC3463"/>
    <w:rsid w:val="5F2D2E65"/>
    <w:rsid w:val="5F6D366D"/>
    <w:rsid w:val="5F7E545D"/>
    <w:rsid w:val="60476698"/>
    <w:rsid w:val="60B067A8"/>
    <w:rsid w:val="60D121A6"/>
    <w:rsid w:val="61957293"/>
    <w:rsid w:val="61962657"/>
    <w:rsid w:val="620E7274"/>
    <w:rsid w:val="62497709"/>
    <w:rsid w:val="627B06B4"/>
    <w:rsid w:val="62FA5968"/>
    <w:rsid w:val="63103915"/>
    <w:rsid w:val="63214BDE"/>
    <w:rsid w:val="632A630E"/>
    <w:rsid w:val="63677CDA"/>
    <w:rsid w:val="63A8797F"/>
    <w:rsid w:val="63EE5D65"/>
    <w:rsid w:val="6453013C"/>
    <w:rsid w:val="645B6ECC"/>
    <w:rsid w:val="64687E34"/>
    <w:rsid w:val="6489687B"/>
    <w:rsid w:val="649515EC"/>
    <w:rsid w:val="649A661F"/>
    <w:rsid w:val="659A33B9"/>
    <w:rsid w:val="65BD58BA"/>
    <w:rsid w:val="660F518C"/>
    <w:rsid w:val="661C37F7"/>
    <w:rsid w:val="66244E60"/>
    <w:rsid w:val="669E6A5A"/>
    <w:rsid w:val="66B00F66"/>
    <w:rsid w:val="66B033E7"/>
    <w:rsid w:val="673B6E90"/>
    <w:rsid w:val="67872189"/>
    <w:rsid w:val="679E4A1C"/>
    <w:rsid w:val="67D93753"/>
    <w:rsid w:val="68EE507B"/>
    <w:rsid w:val="690261FA"/>
    <w:rsid w:val="6946773E"/>
    <w:rsid w:val="6A7E418E"/>
    <w:rsid w:val="6A833540"/>
    <w:rsid w:val="6AC8182A"/>
    <w:rsid w:val="6AE40E19"/>
    <w:rsid w:val="6AE84CE9"/>
    <w:rsid w:val="6C581ED1"/>
    <w:rsid w:val="6C5E5B48"/>
    <w:rsid w:val="6C7A7E8C"/>
    <w:rsid w:val="6CA449DD"/>
    <w:rsid w:val="6CB16662"/>
    <w:rsid w:val="6CB62738"/>
    <w:rsid w:val="6CBE4FAF"/>
    <w:rsid w:val="6CCB6D12"/>
    <w:rsid w:val="6CE56FA0"/>
    <w:rsid w:val="6CFD2AAB"/>
    <w:rsid w:val="6D3E582B"/>
    <w:rsid w:val="6D496139"/>
    <w:rsid w:val="6D70369C"/>
    <w:rsid w:val="6D7D248F"/>
    <w:rsid w:val="6EB91140"/>
    <w:rsid w:val="6F097B30"/>
    <w:rsid w:val="6F2C6B6A"/>
    <w:rsid w:val="6F2F724E"/>
    <w:rsid w:val="6F582A38"/>
    <w:rsid w:val="6F6A16F7"/>
    <w:rsid w:val="6FD45C06"/>
    <w:rsid w:val="6FFA390B"/>
    <w:rsid w:val="70AF7AA6"/>
    <w:rsid w:val="711D1381"/>
    <w:rsid w:val="717C2AAC"/>
    <w:rsid w:val="718E0CB9"/>
    <w:rsid w:val="71DE4B58"/>
    <w:rsid w:val="71EF7EC9"/>
    <w:rsid w:val="72034F49"/>
    <w:rsid w:val="72614E5E"/>
    <w:rsid w:val="73136E46"/>
    <w:rsid w:val="734A49DD"/>
    <w:rsid w:val="738442F5"/>
    <w:rsid w:val="739A3B9B"/>
    <w:rsid w:val="73AC52B2"/>
    <w:rsid w:val="73B4735B"/>
    <w:rsid w:val="73C355CC"/>
    <w:rsid w:val="73E31179"/>
    <w:rsid w:val="74C71D79"/>
    <w:rsid w:val="75BD330E"/>
    <w:rsid w:val="765C2E01"/>
    <w:rsid w:val="76751B95"/>
    <w:rsid w:val="76860067"/>
    <w:rsid w:val="76973B0B"/>
    <w:rsid w:val="76B5067E"/>
    <w:rsid w:val="77A21124"/>
    <w:rsid w:val="77C858AD"/>
    <w:rsid w:val="78095F4E"/>
    <w:rsid w:val="78E35AB3"/>
    <w:rsid w:val="78EC3E39"/>
    <w:rsid w:val="796368C5"/>
    <w:rsid w:val="797B21EB"/>
    <w:rsid w:val="79AA4B17"/>
    <w:rsid w:val="79EA1B55"/>
    <w:rsid w:val="79ED232B"/>
    <w:rsid w:val="7A0A15AA"/>
    <w:rsid w:val="7A6423CD"/>
    <w:rsid w:val="7B687130"/>
    <w:rsid w:val="7C581E25"/>
    <w:rsid w:val="7C5C180D"/>
    <w:rsid w:val="7C5E71B9"/>
    <w:rsid w:val="7C78305D"/>
    <w:rsid w:val="7CB20F8C"/>
    <w:rsid w:val="7D355068"/>
    <w:rsid w:val="7D5208B9"/>
    <w:rsid w:val="7DA76050"/>
    <w:rsid w:val="7E4B520B"/>
    <w:rsid w:val="7E811977"/>
    <w:rsid w:val="7EA94FF3"/>
    <w:rsid w:val="7EBF47C0"/>
    <w:rsid w:val="7FDE3F7D"/>
    <w:rsid w:val="7FE53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0"/>
      <w:sz w:val="28"/>
      <w:szCs w:val="20"/>
      <w:lang w:val="en-US" w:eastAsia="zh-CN" w:bidi="ar-SA"/>
    </w:rPr>
  </w:style>
  <w:style w:type="paragraph" w:styleId="2">
    <w:name w:val="heading 1"/>
    <w:basedOn w:val="1"/>
    <w:next w:val="1"/>
    <w:link w:val="11"/>
    <w:qFormat/>
    <w:uiPriority w:val="0"/>
    <w:pPr>
      <w:keepNext/>
      <w:keepLines/>
      <w:spacing w:before="340" w:after="330" w:line="576" w:lineRule="auto"/>
      <w:outlineLvl w:val="0"/>
    </w:pPr>
    <w:rPr>
      <w:b/>
      <w:kern w:val="44"/>
      <w:sz w:val="44"/>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标题 1 Char"/>
    <w:basedOn w:val="8"/>
    <w:link w:val="2"/>
    <w:qFormat/>
    <w:uiPriority w:val="0"/>
    <w:rPr>
      <w:rFonts w:ascii="Times New Roman" w:hAnsi="Times New Roman" w:eastAsia="宋体" w:cs="Times New Roman"/>
      <w:b/>
      <w:kern w:val="44"/>
      <w:sz w:val="44"/>
      <w:szCs w:val="20"/>
    </w:rPr>
  </w:style>
  <w:style w:type="character" w:customStyle="1" w:styleId="12">
    <w:name w:val="_正文段落 Char Char"/>
    <w:link w:val="13"/>
    <w:qFormat/>
    <w:uiPriority w:val="0"/>
    <w:rPr>
      <w:sz w:val="24"/>
      <w:lang w:val="en-US" w:eastAsia="zh-CN"/>
    </w:rPr>
  </w:style>
  <w:style w:type="paragraph" w:customStyle="1" w:styleId="13">
    <w:name w:val="_正文段落"/>
    <w:basedOn w:val="1"/>
    <w:link w:val="12"/>
    <w:qFormat/>
    <w:uiPriority w:val="0"/>
    <w:pPr>
      <w:spacing w:before="46" w:beforeLines="15" w:after="93" w:afterLines="30" w:line="360" w:lineRule="auto"/>
      <w:ind w:firstLine="200" w:firstLineChars="200"/>
    </w:pPr>
    <w:rPr>
      <w:rFonts w:asciiTheme="minorHAnsi" w:hAnsiTheme="minorHAnsi" w:eastAsiaTheme="minorEastAsia" w:cstheme="minorBidi"/>
      <w:kern w:val="2"/>
      <w:sz w:val="24"/>
      <w:szCs w:val="22"/>
    </w:rPr>
  </w:style>
  <w:style w:type="paragraph" w:customStyle="1" w:styleId="14">
    <w:name w:val="_列表"/>
    <w:basedOn w:val="13"/>
    <w:qFormat/>
    <w:uiPriority w:val="0"/>
    <w:pPr>
      <w:numPr>
        <w:ilvl w:val="0"/>
        <w:numId w:val="1"/>
      </w:numPr>
      <w:tabs>
        <w:tab w:val="left" w:pos="360"/>
        <w:tab w:val="left" w:pos="1290"/>
      </w:tabs>
      <w:spacing w:beforeLines="0" w:after="46" w:afterLines="0"/>
      <w:ind w:left="0" w:firstLine="200" w:firstLineChars="0"/>
    </w:pPr>
  </w:style>
  <w:style w:type="paragraph" w:customStyle="1" w:styleId="15">
    <w:name w:val="List Paragraph1"/>
    <w:basedOn w:val="1"/>
    <w:qFormat/>
    <w:uiPriority w:val="0"/>
    <w:pPr>
      <w:ind w:firstLine="420" w:firstLineChars="200"/>
    </w:pPr>
  </w:style>
  <w:style w:type="character" w:customStyle="1" w:styleId="16">
    <w:name w:val="批注框文本 Char"/>
    <w:basedOn w:val="8"/>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1568</Words>
  <Characters>8942</Characters>
  <Lines>74</Lines>
  <Paragraphs>20</Paragraphs>
  <TotalTime>1763</TotalTime>
  <ScaleCrop>false</ScaleCrop>
  <LinksUpToDate>false</LinksUpToDate>
  <CharactersWithSpaces>10490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2017-09-06T01:59:00Z</dcterms:created>
  <dc:creator>Zhou</dc:creator>
  <cp:lastModifiedBy>Zhou</cp:lastModifiedBy>
  <cp:lastPrinted>2017-10-25T07:45:00Z</cp:lastPrinted>
  <dcterms:modified xsi:type="dcterms:W3CDTF">2019-11-12T11:54:03Z</dcterms:modified>
  <cp:revision>1799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