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石家庄经开区简介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石家庄（国家级）经济技术开发区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1992年经</w:t>
      </w:r>
      <w:r>
        <w:fldChar w:fldCharType="begin"/>
      </w:r>
      <w:r>
        <w:instrText xml:space="preserve"> HYPERLINK "https://baike.baidu.com/item/%E6%B2%B3%E5%8C%97%E7%9C%81%E4%BA%BA%E6%B0%91%E6%94%BF%E5%BA%9C/5010512" \t "https://baike.baidu.com/item/%E7%9F%B3%E5%AE%B6%E5%BA%84%E7%BB%8F%E6%B5%8E%E6%8A%80%E6%9C%AF%E5%BC%80%E5%8F%91%E5%8C%BA/_blank"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河北省人民政府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批准成立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省级开发区，2012年10月</w:t>
      </w:r>
      <w:r>
        <w:rPr>
          <w:rFonts w:hint="eastAsia" w:ascii="仿宋_GB2312" w:hAnsi="仿宋_GB2312" w:eastAsia="仿宋_GB2312" w:cs="仿宋_GB2312"/>
          <w:sz w:val="32"/>
          <w:szCs w:val="32"/>
        </w:rPr>
        <w:t>经国务院批准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升级为国家级开发区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批准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规划面积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平方公里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含托管的藁城经济开发区9.84平方公里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辖1个省级经济开发区，1个镇，19个行政村，3个城市社区居委会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国家生物医药产业基地、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国家新型工业化产业示范基地、国家绿色工业园区、国家外贸转型升级基地，是河北省智能制造示范（园）区、国际合作重点产业园、综合示范试点开发区、开放发展十佳开发区、能级提升示范开发区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四次荣获河北省先进开发区荣誉称号，连续多年获评河北省A类开发区。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一、机构编制情况。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共石家庄经济技术开发区工作委员会、石家庄经济技术开发区管理委员会(简称石家庄经开区党工委、管委会)，为中共石家庄市委、石家庄市人民政府的派出机构，机构规格副厅级，统一管理河北藻城经济开发区。石家庄经开区党工委、管委会根据中共石家庄市委、石家庄市人民政府授权或委托，履行组织领导、发展规划、协调服务、招商引资等职能。石家庄经济技术开发区党工委、管委会机关核定财政性资金基本保证事业编制190名，设党工委书记1名(按上级要求由有关领导同志兼任，不占职数)、党工委副书记兼管委会主任1名(副厅级)、党工委副书记兼管委会常务副主任1名(副厅级)、副书记1名(正县级)、副主任3名(正县级)。内设机构领导职数10正(副县级)20副(正科级)，内设机构不再下设职能科室，按规定设置若干层级主办岗位，灵活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二、经济发展情况。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收入</w:t>
      </w:r>
      <w:r>
        <w:rPr>
          <w:rFonts w:hint="eastAsia" w:ascii="仿宋_GB2312" w:hAnsi="黑体" w:eastAsia="仿宋_GB2312"/>
          <w:sz w:val="32"/>
          <w:szCs w:val="32"/>
        </w:rPr>
        <w:t>2632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税收收入</w:t>
      </w:r>
      <w:r>
        <w:rPr>
          <w:rFonts w:hint="eastAsia" w:ascii="仿宋_GB2312" w:hAnsi="黑体" w:eastAsia="仿宋_GB2312"/>
          <w:sz w:val="32"/>
          <w:szCs w:val="32"/>
        </w:rPr>
        <w:t>106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税收总量位居全省第一；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21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7家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国家级经开区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综合发展水平排名中位居第91位，较上年提升了22个位次，在全省开发区中提升位次最多。</w:t>
      </w:r>
      <w:r>
        <w:rPr>
          <w:rFonts w:hint="eastAsia" w:ascii="仿宋_GB2312" w:hAnsi="黑体" w:eastAsia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年完成营业收入3342.5亿元、税收收入134亿元、规上工业总产值597.8亿元、固定资产投资85.3亿元，分别同比增长27%、25.7%、15.5%、57.9%，税收收入稳居全省开发区第一，营业收入连续多月位居全省开发区第二。</w:t>
      </w:r>
      <w:r>
        <w:rPr>
          <w:rFonts w:hint="eastAsia" w:ascii="仿宋_GB2312" w:hAnsi="仿宋_GB2312" w:eastAsia="仿宋_GB2312" w:cs="仿宋_GB2312"/>
          <w:sz w:val="32"/>
          <w:szCs w:val="32"/>
        </w:rPr>
        <w:t>签约项目数量和总投资、开工项目数量和总投资、实际到位资金等指标连续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个月位居全市开发区第一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在2022年度国家级经开区综合发展水平考评中，我区排名由91位跃升至53位，名列东部地区第34位，实现了大跃升、大进步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仿宋_GB2312" w:hAnsi="黑体" w:eastAsia="仿宋_GB2312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三、产业发展情况。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市场主体30638家、注册企业7901家、“四上”企业235家，高新技术企业152家，科技型中小企业696家，“专精特新”中小企业22家、示范企业14家、小巨人企业2家，拥有世界500强参股企业10家、大型央企6家、上市公司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家、中外合资企业15家，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已经形成了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生物医药、现代食品、装备制造、现代物流、新材料五大优势产业集群。汇集了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石药、华药、石家庄四药等全国医药百强企业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在内的医药企业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182家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，拥有Ⅰ、Ⅱ类新药数量30余种，在研新药150余种，药品批准文号1100余项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2021年生物医药产业占石家庄市比重为37.5%；拥有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可口可乐、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益海粮油、青岛啤酒等世界500强企业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在内的食品生产企业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57家，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2021年现代食品产值占石家庄市比重达40%以上；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拥有翼辰集团、太行机械、宏昌天马等装备制造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56家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，属于全市装备制造产业“一基地、四园区”重点支撑园区之一；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拥有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北国物流、拼多多、极兔物流、润沃智慧物流等众多知名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物流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企业，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全市重点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打造的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东部现代物流枢纽基地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以河冶科技、吉藁化纤等为代表的龙头企业，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聚焦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粉末高速合金钢、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石墨烯、碳纤维、硅晶片等新材料领域，持续固链强链补链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着力构建新材料产业集群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四、招商引资情况。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持续深化招商引资体制机制改革，对标沿海发达省份，创新招商方法，集成优惠政策，建强平台载体，优化政务服务，完善要素保障，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创新建立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“一条主线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+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五种模式”招商工作机制，以五大主导产业链招商为主线，全面实施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小团组招商、协会商会招商、专业公司招商、科研院所招商、亲情招商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招商方式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构建“招商局+招商公司+专业机构”的招商模式，形成了招商公司和专业机构搜集信息、初步沟通，招商局精准对接、深入洽谈的招商工作新机制，实现了招商信息资源“不断档”，深入洽谈“有成效”，切实提升了招商引资的精准性和实效性。全年共签约项目102个，总投资261.4亿元，其中亿元以上项目53个，总投资218.4亿元。签约项目数量和总投资连续4个月位居全市开发区第一，荣获全省抓投资上项目提能级先进示范经济开发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五、项目建设情况。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牢固树立“项目为王”理念，发挥服务企业服务项目“店小二”精神，持续坚持领导包联工作机制，完善“四个干”清单，充分发挥项目专员作用，紧盯项目建设中的难点、堵点和痛点问题，主动作为、靠前服务，深入现场、深入一线，从项目签约直到项目竣工投产提供全流程帮办代办，为项目建设提供全过程、全天候、全方位“三全”服务保障，保持了“签约一批、开工一批、投产一批、达效一批”的梯次推进的工作局面。全年实施省市重点项目19个，总投资120.5亿元，当年完成投资36.6亿元；全年集中开工项目76个，总投资173亿元，项目数量和投资规模连续4月位居全市开发区第一，全省春季重点项目建设现场推进会、全市二季度重点项目集中开工活动主会场均设在我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六、营商环境情况。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以打造全省领先的营商环境为目标，全力推动营商环境持续优化，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全省开发区考核中，我区营商环境市场主体满意度位居全省开发区第一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深化行政审批制度改革，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在全省率先研发和使用“秒批”系统改革，实现市场主体商事登记缩短至“秒”，不断提升审批效率。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在全市率先推行“标准地+承诺制”改革，扩大“区域评估+多评合一”应用，推行“容缺+承诺”模式创新，实行提</w:t>
      </w:r>
      <w:r>
        <w:rPr>
          <w:rFonts w:hint="eastAsia" w:ascii="仿宋_GB2312" w:hAnsi="仿宋_GB2312" w:eastAsia="仿宋_GB2312" w:cs="仿宋_GB2312"/>
          <w:sz w:val="32"/>
          <w:szCs w:val="32"/>
        </w:rPr>
        <w:t>前介入、联审联办、虚拟快办，石药灯塔工厂、龙海药业等一大批省市重点项目先后实现了“四证齐发”“拿地即开工”。深化“一次办、随时办”改革，建立审批服务365天“不打烊”+午间服务“不断档”错时延时服务机制，实现企业和个人办事登记随来随办、即来即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长城网等多家媒体对我区政务服务亮点做法进行宣传报道。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在制定政策方面，精准对接企业需求，围绕企业成长全过程，研究出台了双招双引、科创孵化、研发投入、升规入统、上市挂牌、降低地价等15个专项160余条惠企政策，是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全市首家实现土地低成本出让的开发区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七、平台建设情况。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在平台建设方面，搭建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了政、银、企对接平台，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与五大国有银行及河北银行、平安银行、邮储银行等多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家银行机构达成战略合作，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并成立了诚盈融资担保公司，推出“园区诚盈贷”，为企业提供银行担保贷款等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金融服务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高标准搭建完成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智慧园区平台，努力实现涉企服务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无盲点，为民服务无缝隙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实行“管委会+公司”运营管理模式，组建石家庄经开区开发建设集团有限责任公司，抓好投融资、担保、市政、科创等四个平台建设，为园区发展提供了强力平台支撑。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八、科技创新情况。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共拥有国家级检测中心2家，院士工作站3家，博士后工作站2家，诺奖工作站2家，国家级工程实验室3家；省、市级工程实验室、工程技术研究中心和企业技术中心40余家。拥有院士2人，市、区级人才绿卡持有者1210人。区内企业共有高级研发人员7215人，其中有硕士以上1132人，拥有各项专利2573项，其中发明专利528项。京津冀创新承载中心、人才公寓、智创谷等平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正在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建设，建成后将进一步提升我区科创孵化能力，成为承接京津产业转移的优质载体。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ZGI5MjBiMTg0NWYzNWRkMWE0NTg4MjI2ZDRmMjgifQ=="/>
    <w:docVar w:name="KSO_WPS_MARK_KEY" w:val="43549dac-be2b-49c9-93d0-76ec323e52eb"/>
  </w:docVars>
  <w:rsids>
    <w:rsidRoot w:val="00000000"/>
    <w:rsid w:val="10670C4A"/>
    <w:rsid w:val="7ED0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widowControl/>
      <w:suppressAutoHyphens/>
      <w:ind w:left="1600" w:leftChars="1600"/>
      <w:jc w:val="left"/>
    </w:pPr>
    <w:rPr>
      <w:rFonts w:ascii="Times New Roman" w:hAnsi="Times New Roman" w:eastAsia="新宋体" w:cs="Arial"/>
      <w:sz w:val="24"/>
      <w:lang w:bidi="hi-I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2862</Words>
  <Characters>3019</Characters>
  <Lines>0</Lines>
  <Paragraphs>0</Paragraphs>
  <TotalTime>1</TotalTime>
  <ScaleCrop>false</ScaleCrop>
  <LinksUpToDate>false</LinksUpToDate>
  <CharactersWithSpaces>3019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2023-02-10T06:47:00Z</dcterms:created>
  <dc:creator>kong1</dc:creator>
  <cp:lastModifiedBy>litianshu</cp:lastModifiedBy>
  <dcterms:modified xsi:type="dcterms:W3CDTF">2023-02-10T08:45:46Z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9C48A2B0978843EC99E432BE6242FDDA</vt:lpwstr>
  </property>
</Properties>
</file>