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28"/>
          <w:szCs w:val="28"/>
        </w:rPr>
      </w:pPr>
      <w:r>
        <w:rPr>
          <w:rFonts w:hint="eastAsia" w:ascii="宋体" w:hAnsi="宋体" w:eastAsia="宋体"/>
          <w:b/>
          <w:sz w:val="28"/>
          <w:szCs w:val="28"/>
          <w:lang w:eastAsia="zh-CN"/>
        </w:rPr>
        <w:t>水方案</w:t>
      </w:r>
      <w:r>
        <w:rPr>
          <w:rFonts w:hint="eastAsia" w:ascii="宋体" w:hAnsi="宋体" w:eastAsia="宋体"/>
          <w:b/>
          <w:sz w:val="28"/>
          <w:szCs w:val="28"/>
        </w:rPr>
        <w:t>乐在农家项目运行情况评估任务书</w:t>
      </w:r>
    </w:p>
    <w:p>
      <w:pPr>
        <w:jc w:val="both"/>
        <w:rPr>
          <w:rFonts w:hint="eastAsia" w:ascii="宋体" w:hAnsi="宋体" w:eastAsia="宋体"/>
          <w:b/>
          <w:sz w:val="28"/>
          <w:szCs w:val="28"/>
        </w:rPr>
      </w:pPr>
    </w:p>
    <w:p>
      <w:pPr>
        <w:spacing w:line="360" w:lineRule="auto"/>
        <w:ind w:firstLine="0" w:firstLineChars="0"/>
        <w:rPr>
          <w:rFonts w:hint="eastAsia" w:ascii="Arial" w:hAnsi="Arial" w:cs="Arial"/>
          <w:b/>
          <w:color w:val="000000"/>
          <w:sz w:val="24"/>
          <w:lang w:eastAsia="zh-CN"/>
        </w:rPr>
      </w:pPr>
      <w:r>
        <w:rPr>
          <w:rFonts w:hint="eastAsia" w:ascii="Arial" w:hAnsi="Arial" w:cs="Arial"/>
          <w:b/>
          <w:color w:val="000000"/>
          <w:sz w:val="24"/>
        </w:rPr>
        <w:t>项目名称：</w:t>
      </w:r>
      <w:r>
        <w:rPr>
          <w:rFonts w:hint="eastAsia" w:ascii="Arial" w:hAnsi="Arial" w:cs="Arial"/>
          <w:b/>
          <w:color w:val="000000"/>
          <w:sz w:val="24"/>
          <w:lang w:eastAsia="zh-CN"/>
        </w:rPr>
        <w:t>水方案</w:t>
      </w:r>
    </w:p>
    <w:p>
      <w:pPr>
        <w:spacing w:line="360" w:lineRule="auto"/>
        <w:ind w:firstLine="0" w:firstLineChars="0"/>
        <w:rPr>
          <w:rFonts w:hint="eastAsia" w:ascii="Arial" w:hAnsi="Arial" w:cs="Arial"/>
          <w:b/>
          <w:color w:val="000000"/>
          <w:sz w:val="24"/>
        </w:rPr>
      </w:pPr>
      <w:r>
        <w:rPr>
          <w:rFonts w:hint="eastAsia" w:ascii="Arial" w:hAnsi="Arial" w:cs="Arial"/>
          <w:b/>
          <w:color w:val="000000"/>
          <w:sz w:val="24"/>
        </w:rPr>
        <w:t>专家职责: 水方案乐在农家项目运行情况评估</w:t>
      </w:r>
    </w:p>
    <w:p>
      <w:pPr>
        <w:spacing w:line="360" w:lineRule="auto"/>
        <w:ind w:firstLine="0" w:firstLineChars="0"/>
        <w:rPr>
          <w:rFonts w:hint="eastAsia" w:ascii="Arial" w:hAnsi="Arial" w:cs="Arial"/>
          <w:b/>
          <w:color w:val="000000"/>
          <w:sz w:val="24"/>
        </w:rPr>
      </w:pPr>
      <w:r>
        <w:rPr>
          <w:rFonts w:hint="eastAsia" w:ascii="Arial" w:hAnsi="Arial" w:cs="Arial"/>
          <w:b/>
          <w:color w:val="000000"/>
          <w:sz w:val="24"/>
        </w:rPr>
        <w:t>时间:  201</w:t>
      </w:r>
      <w:r>
        <w:rPr>
          <w:rFonts w:hint="eastAsia" w:ascii="Arial" w:hAnsi="Arial" w:cs="Arial"/>
          <w:b/>
          <w:color w:val="000000"/>
          <w:sz w:val="24"/>
          <w:lang w:val="en-US" w:eastAsia="zh-CN"/>
        </w:rPr>
        <w:t>8</w:t>
      </w:r>
      <w:r>
        <w:rPr>
          <w:rFonts w:hint="eastAsia" w:ascii="Arial" w:hAnsi="Arial" w:cs="Arial"/>
          <w:b/>
          <w:color w:val="000000"/>
          <w:sz w:val="24"/>
        </w:rPr>
        <w:t>年1月-201</w:t>
      </w:r>
      <w:r>
        <w:rPr>
          <w:rFonts w:hint="eastAsia" w:ascii="Arial" w:hAnsi="Arial" w:cs="Arial"/>
          <w:b/>
          <w:color w:val="000000"/>
          <w:sz w:val="24"/>
        </w:rPr>
        <w:t>8年12月</w:t>
      </w:r>
    </w:p>
    <w:p>
      <w:pPr>
        <w:rPr>
          <w:rFonts w:hint="eastAsia" w:ascii="宋体" w:hAnsi="宋体" w:eastAsia="宋体"/>
          <w:b/>
          <w:sz w:val="28"/>
          <w:szCs w:val="28"/>
        </w:rPr>
      </w:pPr>
    </w:p>
    <w:p>
      <w:pPr>
        <w:rPr>
          <w:rFonts w:ascii="宋体" w:hAnsi="宋体" w:eastAsia="宋体"/>
          <w:b/>
          <w:sz w:val="28"/>
          <w:szCs w:val="28"/>
        </w:rPr>
      </w:pPr>
      <w:r>
        <w:rPr>
          <w:rFonts w:hint="eastAsia" w:ascii="宋体" w:hAnsi="宋体" w:eastAsia="宋体"/>
          <w:b/>
          <w:sz w:val="28"/>
          <w:szCs w:val="28"/>
        </w:rPr>
        <w:t>第一部分 项目简介和背景</w:t>
      </w:r>
      <w:bookmarkStart w:id="0" w:name="_GoBack"/>
      <w:bookmarkEnd w:id="0"/>
    </w:p>
    <w:p>
      <w:pPr>
        <w:ind w:firstLine="560"/>
        <w:rPr>
          <w:rFonts w:ascii="宋体" w:hAnsi="宋体" w:eastAsia="宋体"/>
          <w:color w:val="000000"/>
          <w:sz w:val="24"/>
          <w:szCs w:val="24"/>
        </w:rPr>
      </w:pPr>
      <w:r>
        <w:rPr>
          <w:rFonts w:hint="eastAsia" w:ascii="宋体" w:hAnsi="宋体" w:eastAsia="宋体"/>
          <w:color w:val="000000"/>
          <w:sz w:val="24"/>
          <w:szCs w:val="24"/>
        </w:rPr>
        <w:t>随着我国城市化进程的推进，以农家乐为代表的乡村旅游业快速发展，给农民带来可观的经济收入。然而，由于基础设施配套与农村经济发展不匹配，造成农家乐污水的无序排放，严重影响当地的水环境质量。因此，急需采取技术可行、运行简单、成本可控、农民欢迎、高效生态的可持续污水处理技术，使农家乐所产生的污水能够有效回用或达标排放，保障当地的水环境安全。由可口可乐公司发起的“乐在农家”项目，根据地方需求，因地制宜地设计、建设、运营与乡村相协调的污水生态处理工艺，以实现污水回用或达标排放，提升农村生态环境。同时，通过可口可乐公司的品牌效应对乐在农家项目进行示范宣传，推动农家乐生活污水治理项目在全国广泛开展。</w:t>
      </w:r>
    </w:p>
    <w:p>
      <w:pPr>
        <w:ind w:firstLine="560"/>
        <w:rPr>
          <w:rFonts w:ascii="宋体" w:hAnsi="宋体" w:eastAsia="宋体"/>
          <w:color w:val="000000"/>
          <w:sz w:val="24"/>
          <w:szCs w:val="24"/>
        </w:rPr>
      </w:pPr>
      <w:r>
        <w:rPr>
          <w:rFonts w:hint="eastAsia" w:ascii="宋体" w:hAnsi="宋体" w:eastAsia="宋体"/>
          <w:color w:val="000000"/>
          <w:sz w:val="24"/>
          <w:szCs w:val="24"/>
        </w:rPr>
        <w:t>目前，“乐在农家”项目已在福建、山东、四川、山西、江苏等多个省市进行试点建设，运行良好，处理水质达到国家一级排放标准，受到当地政府和业主的好评。</w:t>
      </w:r>
    </w:p>
    <w:p>
      <w:pPr>
        <w:ind w:firstLine="560"/>
        <w:rPr>
          <w:rFonts w:hint="eastAsia" w:ascii="宋体" w:hAnsi="宋体" w:eastAsia="宋体"/>
          <w:color w:val="000000"/>
          <w:sz w:val="24"/>
          <w:szCs w:val="24"/>
        </w:rPr>
      </w:pPr>
      <w:r>
        <w:rPr>
          <w:rFonts w:hint="eastAsia" w:ascii="宋体" w:hAnsi="宋体" w:eastAsia="宋体"/>
          <w:color w:val="000000"/>
          <w:sz w:val="24"/>
          <w:szCs w:val="24"/>
        </w:rPr>
        <w:t>然而，污水处理设施的建成仅是农村水环境改善任务的第一步，污水处理设施的长期有效运行以及可持续管理，才能实现农村水质的根本改善。因此，需要对已建成的项目进行跟踪、分析水质、评估运行情况，并以此作为依据对项目进行持续改进，以提高环境保护投入/产出效率，实现社会主义生态文明建设。</w:t>
      </w:r>
    </w:p>
    <w:p>
      <w:pPr>
        <w:spacing w:before="156" w:beforeLines="50" w:after="156" w:afterLines="50"/>
        <w:rPr>
          <w:rFonts w:ascii="宋体" w:hAnsi="宋体" w:eastAsia="宋体" w:cs="Arial"/>
          <w:b/>
          <w:color w:val="000000"/>
          <w:sz w:val="28"/>
          <w:szCs w:val="28"/>
        </w:rPr>
      </w:pPr>
      <w:r>
        <w:rPr>
          <w:rFonts w:hint="eastAsia" w:ascii="宋体" w:hAnsi="宋体" w:eastAsia="宋体" w:cs="Arial"/>
          <w:b/>
          <w:color w:val="000000"/>
          <w:sz w:val="28"/>
          <w:szCs w:val="28"/>
        </w:rPr>
        <w:t>第二部分</w:t>
      </w:r>
      <w:r>
        <w:rPr>
          <w:rFonts w:ascii="宋体" w:hAnsi="宋体" w:eastAsia="宋体" w:cs="Arial"/>
          <w:b/>
          <w:color w:val="000000"/>
          <w:sz w:val="28"/>
          <w:szCs w:val="28"/>
        </w:rPr>
        <w:t xml:space="preserve">  </w:t>
      </w:r>
      <w:r>
        <w:rPr>
          <w:rFonts w:hint="eastAsia" w:ascii="宋体" w:hAnsi="宋体" w:eastAsia="宋体" w:cs="Arial"/>
          <w:b/>
          <w:color w:val="000000"/>
          <w:sz w:val="28"/>
          <w:szCs w:val="28"/>
        </w:rPr>
        <w:t>职责和责任</w:t>
      </w:r>
    </w:p>
    <w:p>
      <w:pPr>
        <w:pStyle w:val="5"/>
        <w:numPr>
          <w:ilvl w:val="0"/>
          <w:numId w:val="1"/>
        </w:numPr>
        <w:ind w:firstLineChars="0"/>
        <w:rPr>
          <w:rFonts w:ascii="宋体" w:hAnsi="宋体" w:eastAsia="宋体"/>
          <w:color w:val="000000"/>
          <w:sz w:val="24"/>
          <w:szCs w:val="24"/>
        </w:rPr>
      </w:pPr>
      <w:r>
        <w:rPr>
          <w:rFonts w:hint="eastAsia" w:ascii="宋体" w:hAnsi="宋体" w:eastAsia="宋体"/>
          <w:color w:val="000000"/>
          <w:sz w:val="24"/>
          <w:szCs w:val="24"/>
        </w:rPr>
        <w:t>交流中心负责协调工作，可口可乐公司负责综合管控。</w:t>
      </w:r>
    </w:p>
    <w:p>
      <w:pPr>
        <w:pStyle w:val="5"/>
        <w:numPr>
          <w:ilvl w:val="0"/>
          <w:numId w:val="1"/>
        </w:numPr>
        <w:ind w:firstLineChars="0"/>
        <w:rPr>
          <w:rFonts w:ascii="宋体" w:hAnsi="宋体" w:eastAsia="宋体"/>
          <w:color w:val="000000"/>
          <w:sz w:val="24"/>
          <w:szCs w:val="24"/>
        </w:rPr>
      </w:pPr>
      <w:r>
        <w:rPr>
          <w:rFonts w:hint="eastAsia" w:ascii="宋体" w:hAnsi="宋体" w:eastAsia="宋体"/>
          <w:color w:val="000000"/>
          <w:sz w:val="24"/>
          <w:szCs w:val="24"/>
        </w:rPr>
        <w:t>自建成至验收合格为试运行期。UNDP专家组负责运行的培训、调试等工作；业主接受培训后负责项目的有效运行。</w:t>
      </w:r>
    </w:p>
    <w:p>
      <w:pPr>
        <w:pStyle w:val="5"/>
        <w:numPr>
          <w:ilvl w:val="0"/>
          <w:numId w:val="1"/>
        </w:numPr>
        <w:ind w:firstLineChars="0"/>
        <w:rPr>
          <w:rFonts w:ascii="宋体" w:hAnsi="宋体" w:eastAsia="宋体"/>
          <w:color w:val="000000"/>
          <w:sz w:val="24"/>
          <w:szCs w:val="24"/>
        </w:rPr>
      </w:pPr>
      <w:r>
        <w:rPr>
          <w:rFonts w:hint="eastAsia" w:ascii="宋体" w:hAnsi="宋体" w:eastAsia="宋体"/>
          <w:color w:val="000000"/>
          <w:sz w:val="24"/>
          <w:szCs w:val="24"/>
        </w:rPr>
        <w:t>验收合格后半年内为项目维护期。业主需按培训手册对项目的运行维护负责；UNDP专家组负责维护期内的跟踪指导，根据第三方监测数据，调整运行方案，对维护期内出现的问题，负责指导，直至问题解决。</w:t>
      </w:r>
    </w:p>
    <w:p>
      <w:pPr>
        <w:pStyle w:val="5"/>
        <w:numPr>
          <w:ilvl w:val="0"/>
          <w:numId w:val="1"/>
        </w:numPr>
        <w:ind w:firstLineChars="0"/>
        <w:rPr>
          <w:rFonts w:ascii="宋体" w:hAnsi="宋体" w:eastAsia="宋体"/>
          <w:color w:val="000000"/>
          <w:sz w:val="24"/>
          <w:szCs w:val="24"/>
        </w:rPr>
      </w:pPr>
      <w:r>
        <w:rPr>
          <w:rFonts w:hint="eastAsia" w:ascii="宋体" w:hAnsi="宋体" w:eastAsia="宋体"/>
          <w:color w:val="000000"/>
          <w:sz w:val="24"/>
          <w:szCs w:val="24"/>
        </w:rPr>
        <w:t>维护期结束后，项目维护工作将移交第三方公司负责。</w:t>
      </w:r>
    </w:p>
    <w:p>
      <w:pPr>
        <w:pStyle w:val="5"/>
        <w:numPr>
          <w:ilvl w:val="0"/>
          <w:numId w:val="1"/>
        </w:numPr>
        <w:ind w:firstLineChars="0"/>
        <w:rPr>
          <w:rFonts w:hint="eastAsia" w:ascii="宋体" w:hAnsi="宋体" w:eastAsia="宋体"/>
          <w:color w:val="000000"/>
          <w:sz w:val="24"/>
          <w:szCs w:val="24"/>
        </w:rPr>
      </w:pPr>
      <w:r>
        <w:rPr>
          <w:rFonts w:hint="eastAsia" w:ascii="宋体" w:hAnsi="宋体" w:eastAsia="宋体"/>
          <w:color w:val="000000"/>
          <w:sz w:val="24"/>
          <w:szCs w:val="24"/>
        </w:rPr>
        <w:t>可口可乐公司负责招投标，并由UNDP专家组协助，选择合适的第三方监测公司及第三方运行维护公司；第三方监测公司及第三方运行维护公司负责长期的水质监测及设施运行维护工作，保证设施有效运行及水质达标排放，并有责任向UNDP专家组定期提供监测及维护运行数据；UNDP专家则负责根据数据对设施运行情况进行评估。</w:t>
      </w:r>
    </w:p>
    <w:p>
      <w:pPr>
        <w:spacing w:before="156" w:beforeLines="50" w:after="156" w:afterLines="50"/>
        <w:rPr>
          <w:rFonts w:ascii="宋体" w:hAnsi="宋体" w:eastAsia="宋体" w:cs="Arial"/>
          <w:b/>
          <w:color w:val="000000"/>
          <w:sz w:val="28"/>
          <w:szCs w:val="28"/>
        </w:rPr>
      </w:pPr>
      <w:r>
        <w:rPr>
          <w:rFonts w:hint="eastAsia" w:ascii="宋体" w:hAnsi="宋体" w:eastAsia="宋体" w:cs="Arial"/>
          <w:b/>
          <w:color w:val="000000"/>
          <w:sz w:val="28"/>
          <w:szCs w:val="28"/>
        </w:rPr>
        <w:t>第三部分</w:t>
      </w:r>
      <w:r>
        <w:rPr>
          <w:rFonts w:ascii="宋体" w:hAnsi="宋体" w:eastAsia="宋体" w:cs="Arial"/>
          <w:b/>
          <w:color w:val="000000"/>
          <w:sz w:val="28"/>
          <w:szCs w:val="28"/>
        </w:rPr>
        <w:t xml:space="preserve">  </w:t>
      </w:r>
      <w:r>
        <w:rPr>
          <w:rFonts w:hint="eastAsia" w:ascii="宋体" w:hAnsi="宋体" w:eastAsia="宋体" w:cs="Arial"/>
          <w:b/>
          <w:color w:val="000000"/>
          <w:sz w:val="28"/>
          <w:szCs w:val="28"/>
        </w:rPr>
        <w:t>工作内容</w:t>
      </w:r>
    </w:p>
    <w:p>
      <w:pPr>
        <w:spacing w:before="156" w:beforeLines="50" w:after="156" w:afterLines="50"/>
        <w:rPr>
          <w:rFonts w:hint="eastAsia" w:ascii="宋体" w:hAnsi="宋体" w:eastAsia="宋体" w:cs="Arial"/>
          <w:color w:val="000000"/>
          <w:sz w:val="24"/>
          <w:szCs w:val="24"/>
        </w:rPr>
      </w:pPr>
      <w:r>
        <w:rPr>
          <w:rFonts w:hint="eastAsia" w:ascii="宋体" w:hAnsi="宋体" w:eastAsia="宋体" w:cs="Arial"/>
          <w:color w:val="000000"/>
          <w:sz w:val="24"/>
          <w:szCs w:val="24"/>
        </w:rPr>
        <w:t>专家组将对已建成的福建、四川、江苏等省的乐在农家项目的运行情况进行评估</w:t>
      </w:r>
    </w:p>
    <w:p>
      <w:pPr>
        <w:autoSpaceDE w:val="0"/>
        <w:autoSpaceDN w:val="0"/>
        <w:adjustRightInd w:val="0"/>
        <w:spacing w:line="360" w:lineRule="auto"/>
        <w:ind w:firstLine="200"/>
        <w:jc w:val="center"/>
        <w:rPr>
          <w:rFonts w:ascii="宋体" w:hAnsi="宋体" w:eastAsia="宋体"/>
          <w:color w:val="000000"/>
          <w:sz w:val="24"/>
          <w:szCs w:val="24"/>
        </w:rPr>
      </w:pPr>
      <w:r>
        <w:rPr>
          <w:rFonts w:hint="eastAsia" w:ascii="宋体" w:hAnsi="宋体" w:eastAsia="宋体"/>
          <w:b/>
          <w:color w:val="000000"/>
          <w:sz w:val="24"/>
          <w:szCs w:val="24"/>
        </w:rPr>
        <w:t>乐在农家项目服务清单</w:t>
      </w:r>
    </w:p>
    <w:tbl>
      <w:tblPr>
        <w:tblStyle w:val="3"/>
        <w:tblW w:w="8784" w:type="dxa"/>
        <w:tblInd w:w="0" w:type="dxa"/>
        <w:tblLayout w:type="fixed"/>
        <w:tblCellMar>
          <w:top w:w="0" w:type="dxa"/>
          <w:left w:w="108" w:type="dxa"/>
          <w:bottom w:w="0" w:type="dxa"/>
          <w:right w:w="108" w:type="dxa"/>
        </w:tblCellMar>
      </w:tblPr>
      <w:tblGrid>
        <w:gridCol w:w="1080"/>
        <w:gridCol w:w="2360"/>
        <w:gridCol w:w="5344"/>
      </w:tblGrid>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23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活动名称</w:t>
            </w:r>
          </w:p>
        </w:tc>
        <w:tc>
          <w:tcPr>
            <w:tcW w:w="534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项目内容</w:t>
            </w:r>
          </w:p>
        </w:tc>
      </w:tr>
      <w:tr>
        <w:tblPrEx>
          <w:tblLayout w:type="fixed"/>
          <w:tblCellMar>
            <w:top w:w="0" w:type="dxa"/>
            <w:left w:w="108" w:type="dxa"/>
            <w:bottom w:w="0" w:type="dxa"/>
            <w:right w:w="108" w:type="dxa"/>
          </w:tblCellMar>
        </w:tblPrEx>
        <w:trPr>
          <w:trHeight w:val="559"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36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数据采集</w:t>
            </w:r>
          </w:p>
        </w:tc>
        <w:tc>
          <w:tcPr>
            <w:tcW w:w="534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第三方提供水质监测数据</w:t>
            </w:r>
          </w:p>
        </w:tc>
      </w:tr>
      <w:tr>
        <w:tblPrEx>
          <w:tblLayout w:type="fixed"/>
          <w:tblCellMar>
            <w:top w:w="0" w:type="dxa"/>
            <w:left w:w="108" w:type="dxa"/>
            <w:bottom w:w="0" w:type="dxa"/>
            <w:right w:w="108" w:type="dxa"/>
          </w:tblCellMar>
        </w:tblPrEx>
        <w:trPr>
          <w:trHeight w:val="559"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36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现场调研</w:t>
            </w:r>
          </w:p>
        </w:tc>
        <w:tc>
          <w:tcPr>
            <w:tcW w:w="534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现场调查项目点的运行情况、并采样进行水质分析</w:t>
            </w:r>
          </w:p>
        </w:tc>
      </w:tr>
      <w:tr>
        <w:tblPrEx>
          <w:tblLayout w:type="fixed"/>
          <w:tblCellMar>
            <w:top w:w="0" w:type="dxa"/>
            <w:left w:w="108" w:type="dxa"/>
            <w:bottom w:w="0" w:type="dxa"/>
            <w:right w:w="108" w:type="dxa"/>
          </w:tblCellMar>
        </w:tblPrEx>
        <w:trPr>
          <w:trHeight w:val="559"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36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综合评估</w:t>
            </w:r>
          </w:p>
        </w:tc>
        <w:tc>
          <w:tcPr>
            <w:tcW w:w="534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综合数据及调研结果，对在运行项目进行评估</w:t>
            </w:r>
          </w:p>
        </w:tc>
      </w:tr>
      <w:tr>
        <w:tblPrEx>
          <w:tblLayout w:type="fixed"/>
          <w:tblCellMar>
            <w:top w:w="0" w:type="dxa"/>
            <w:left w:w="108" w:type="dxa"/>
            <w:bottom w:w="0" w:type="dxa"/>
            <w:right w:w="108" w:type="dxa"/>
          </w:tblCellMar>
        </w:tblPrEx>
        <w:trPr>
          <w:trHeight w:val="559"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36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技改方案</w:t>
            </w:r>
          </w:p>
        </w:tc>
        <w:tc>
          <w:tcPr>
            <w:tcW w:w="534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制定改进技术方案、指导解决问题</w:t>
            </w:r>
          </w:p>
        </w:tc>
      </w:tr>
    </w:tbl>
    <w:p>
      <w:pPr>
        <w:rPr>
          <w:rFonts w:hint="eastAsia" w:ascii="宋体" w:hAnsi="宋体" w:eastAsia="宋体" w:cs="Arial"/>
          <w:color w:val="000000"/>
          <w:sz w:val="24"/>
        </w:rPr>
      </w:pPr>
    </w:p>
    <w:p>
      <w:pPr>
        <w:rPr>
          <w:rFonts w:hint="eastAsia" w:ascii="宋体" w:hAnsi="宋体" w:eastAsia="宋体" w:cs="Arial"/>
          <w:b/>
          <w:color w:val="000000"/>
          <w:sz w:val="28"/>
          <w:szCs w:val="28"/>
        </w:rPr>
      </w:pPr>
      <w:r>
        <w:rPr>
          <w:rFonts w:hint="eastAsia" w:ascii="宋体" w:hAnsi="宋体" w:eastAsia="宋体" w:cs="Arial"/>
          <w:b/>
          <w:color w:val="000000"/>
          <w:sz w:val="28"/>
          <w:szCs w:val="28"/>
        </w:rPr>
        <w:t>第四部分</w:t>
      </w:r>
      <w:r>
        <w:rPr>
          <w:rFonts w:ascii="宋体" w:hAnsi="宋体" w:eastAsia="宋体" w:cs="Arial"/>
          <w:b/>
          <w:color w:val="000000"/>
          <w:sz w:val="28"/>
          <w:szCs w:val="28"/>
        </w:rPr>
        <w:t xml:space="preserve">  </w:t>
      </w:r>
      <w:r>
        <w:rPr>
          <w:rFonts w:hint="eastAsia" w:ascii="宋体" w:hAnsi="宋体" w:eastAsia="宋体" w:cs="Arial"/>
          <w:b/>
          <w:color w:val="000000"/>
          <w:sz w:val="28"/>
          <w:szCs w:val="28"/>
        </w:rPr>
        <w:t>时间安排</w:t>
      </w:r>
    </w:p>
    <w:p>
      <w:pPr>
        <w:autoSpaceDE w:val="0"/>
        <w:autoSpaceDN w:val="0"/>
        <w:adjustRightInd w:val="0"/>
        <w:spacing w:line="360" w:lineRule="auto"/>
        <w:ind w:firstLine="560"/>
        <w:rPr>
          <w:rFonts w:ascii="宋体" w:hAnsi="宋体" w:eastAsia="宋体" w:cs="Times New Roman"/>
          <w:color w:val="000000"/>
          <w:sz w:val="24"/>
          <w:szCs w:val="24"/>
        </w:rPr>
      </w:pPr>
      <w:r>
        <w:rPr>
          <w:rFonts w:ascii="宋体" w:hAnsi="宋体" w:eastAsia="宋体"/>
          <w:color w:val="000000"/>
          <w:sz w:val="24"/>
          <w:szCs w:val="24"/>
        </w:rPr>
        <w:t>201</w:t>
      </w:r>
      <w:r>
        <w:rPr>
          <w:rFonts w:hint="eastAsia" w:ascii="宋体" w:hAnsi="宋体" w:eastAsia="宋体"/>
          <w:color w:val="000000"/>
          <w:sz w:val="24"/>
          <w:szCs w:val="24"/>
        </w:rPr>
        <w:t>8年1月</w:t>
      </w:r>
      <w:r>
        <w:rPr>
          <w:rFonts w:ascii="宋体" w:hAnsi="宋体" w:eastAsia="宋体"/>
          <w:color w:val="000000"/>
          <w:sz w:val="24"/>
          <w:szCs w:val="24"/>
        </w:rPr>
        <w:t>-2018</w:t>
      </w:r>
      <w:r>
        <w:rPr>
          <w:rFonts w:hint="eastAsia" w:ascii="宋体" w:hAnsi="宋体" w:eastAsia="宋体"/>
          <w:color w:val="000000"/>
          <w:sz w:val="24"/>
          <w:szCs w:val="24"/>
        </w:rPr>
        <w:t>年12月</w:t>
      </w:r>
    </w:p>
    <w:p>
      <w:pPr>
        <w:rPr>
          <w:rFonts w:hint="eastAsia" w:ascii="Arial" w:hAnsi="Arial" w:eastAsia="宋体" w:cs="Arial"/>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19C"/>
    <w:multiLevelType w:val="multilevel"/>
    <w:tmpl w:val="0CF6619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Tc0sDA2NrMwMzJS0lEKTi0uzszPAykwqgUAU2qruCwAAAA="/>
  </w:docVars>
  <w:rsids>
    <w:rsidRoot w:val="00F61232"/>
    <w:rsid w:val="000506C9"/>
    <w:rsid w:val="0006658B"/>
    <w:rsid w:val="00226025"/>
    <w:rsid w:val="00344281"/>
    <w:rsid w:val="003F4F21"/>
    <w:rsid w:val="00511A34"/>
    <w:rsid w:val="00637127"/>
    <w:rsid w:val="007441FF"/>
    <w:rsid w:val="008D7575"/>
    <w:rsid w:val="00A208F7"/>
    <w:rsid w:val="00A229C7"/>
    <w:rsid w:val="00B15D60"/>
    <w:rsid w:val="00B73C01"/>
    <w:rsid w:val="00BB2CBD"/>
    <w:rsid w:val="00F61232"/>
    <w:rsid w:val="00FB23D9"/>
    <w:rsid w:val="01C32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230</Words>
  <Characters>1316</Characters>
  <Lines>10</Lines>
  <Paragraphs>3</Paragraphs>
  <ScaleCrop>false</ScaleCrop>
  <LinksUpToDate>false</LinksUpToDate>
  <CharactersWithSpaces>1543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2017-12-02T05:17:00Z</dcterms:created>
  <dc:creator>peng zhang</dc:creator>
  <cp:lastModifiedBy>W</cp:lastModifiedBy>
  <cp:lastPrinted>2018-01-05T06:59:54Z</cp:lastPrinted>
  <dcterms:modified xsi:type="dcterms:W3CDTF">2018-01-05T07:04:22Z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